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E926E" w14:textId="77777777" w:rsidR="00A63229" w:rsidRDefault="00A63229">
      <w:pPr>
        <w:pStyle w:val="af5"/>
        <w:adjustRightInd w:val="0"/>
        <w:snapToGrid w:val="0"/>
        <w:spacing w:line="360" w:lineRule="auto"/>
        <w:jc w:val="center"/>
        <w:rPr>
          <w:rFonts w:ascii="宋体" w:hAnsi="宋体"/>
          <w:b/>
          <w:color w:val="000000"/>
          <w:sz w:val="44"/>
          <w:szCs w:val="44"/>
        </w:rPr>
      </w:pPr>
      <w:r>
        <w:rPr>
          <w:rFonts w:ascii="宋体" w:hAnsi="宋体" w:hint="eastAsia"/>
          <w:b/>
          <w:color w:val="000000"/>
          <w:sz w:val="44"/>
          <w:szCs w:val="44"/>
        </w:rPr>
        <w:t>骨质疏松症（骨痿）</w:t>
      </w:r>
      <w:r w:rsidR="004848DA">
        <w:rPr>
          <w:rFonts w:ascii="宋体" w:hAnsi="宋体" w:hint="eastAsia"/>
          <w:b/>
          <w:color w:val="000000"/>
          <w:sz w:val="44"/>
          <w:szCs w:val="44"/>
        </w:rPr>
        <w:t>中医</w:t>
      </w:r>
      <w:r>
        <w:rPr>
          <w:rFonts w:ascii="宋体" w:hAnsi="宋体" w:hint="eastAsia"/>
          <w:b/>
          <w:color w:val="000000"/>
          <w:sz w:val="44"/>
          <w:szCs w:val="44"/>
        </w:rPr>
        <w:t>诊疗方案</w:t>
      </w:r>
    </w:p>
    <w:p w14:paraId="4A89E51E" w14:textId="0CAA4404" w:rsidR="00A63229" w:rsidRDefault="00A63229" w:rsidP="00433E80">
      <w:pPr>
        <w:pStyle w:val="af5"/>
        <w:adjustRightInd w:val="0"/>
        <w:snapToGrid w:val="0"/>
        <w:spacing w:line="360" w:lineRule="auto"/>
        <w:ind w:firstLineChars="200" w:firstLine="560"/>
        <w:rPr>
          <w:rFonts w:ascii="Times New Roman" w:hAnsi="Times New Roman"/>
          <w:sz w:val="28"/>
          <w:szCs w:val="28"/>
        </w:rPr>
      </w:pPr>
      <w:r>
        <w:rPr>
          <w:rFonts w:ascii="Times New Roman" w:hAnsi="宋体"/>
          <w:color w:val="000000"/>
          <w:sz w:val="28"/>
          <w:szCs w:val="28"/>
        </w:rPr>
        <w:t>骨质疏松症是</w:t>
      </w:r>
      <w:r w:rsidR="00433E80">
        <w:rPr>
          <w:rFonts w:ascii="Times New Roman" w:hAnsi="宋体" w:hint="eastAsia"/>
          <w:color w:val="000000"/>
          <w:sz w:val="28"/>
          <w:szCs w:val="28"/>
        </w:rPr>
        <w:t>一种因骨量低下、骨微结构破坏，导致</w:t>
      </w:r>
      <w:r>
        <w:rPr>
          <w:rFonts w:ascii="Times New Roman" w:hAnsi="宋体"/>
          <w:color w:val="000000"/>
          <w:sz w:val="28"/>
          <w:szCs w:val="28"/>
        </w:rPr>
        <w:t>骨的脆性增高</w:t>
      </w:r>
      <w:r w:rsidR="00433E80">
        <w:rPr>
          <w:rFonts w:ascii="Times New Roman" w:hAnsi="宋体" w:hint="eastAsia"/>
          <w:color w:val="000000"/>
          <w:sz w:val="28"/>
          <w:szCs w:val="28"/>
        </w:rPr>
        <w:t>，易发生骨折</w:t>
      </w:r>
      <w:r>
        <w:rPr>
          <w:rFonts w:ascii="Times New Roman" w:hAnsi="宋体"/>
          <w:color w:val="000000"/>
          <w:sz w:val="28"/>
          <w:szCs w:val="28"/>
        </w:rPr>
        <w:t>的全身</w:t>
      </w:r>
      <w:r w:rsidR="00433E80">
        <w:rPr>
          <w:rFonts w:ascii="Times New Roman" w:hAnsi="宋体" w:hint="eastAsia"/>
          <w:color w:val="000000"/>
          <w:sz w:val="28"/>
          <w:szCs w:val="28"/>
        </w:rPr>
        <w:t>性</w:t>
      </w:r>
      <w:r>
        <w:rPr>
          <w:rFonts w:ascii="Times New Roman" w:hAnsi="宋体"/>
          <w:color w:val="000000"/>
          <w:sz w:val="28"/>
          <w:szCs w:val="28"/>
        </w:rPr>
        <w:t>骨病。</w:t>
      </w:r>
    </w:p>
    <w:p w14:paraId="7A088395" w14:textId="55E547D7" w:rsidR="00C67AF2" w:rsidRDefault="00A63229" w:rsidP="006307A8">
      <w:pPr>
        <w:autoSpaceDE w:val="0"/>
        <w:autoSpaceDN w:val="0"/>
        <w:spacing w:line="360" w:lineRule="auto"/>
        <w:rPr>
          <w:b/>
          <w:sz w:val="28"/>
          <w:szCs w:val="28"/>
        </w:rPr>
      </w:pPr>
      <w:r>
        <w:rPr>
          <w:rFonts w:hAnsi="宋体"/>
          <w:b/>
          <w:bCs/>
          <w:color w:val="000000"/>
          <w:kern w:val="0"/>
          <w:sz w:val="28"/>
          <w:szCs w:val="28"/>
        </w:rPr>
        <w:t>一</w:t>
      </w:r>
      <w:r w:rsidR="006307A8">
        <w:rPr>
          <w:rFonts w:hAnsi="宋体" w:hint="eastAsia"/>
          <w:b/>
          <w:bCs/>
          <w:color w:val="000000"/>
          <w:kern w:val="0"/>
          <w:sz w:val="28"/>
          <w:szCs w:val="28"/>
        </w:rPr>
        <w:t>、</w:t>
      </w:r>
      <w:r>
        <w:rPr>
          <w:rFonts w:hint="eastAsia"/>
          <w:b/>
          <w:sz w:val="28"/>
          <w:szCs w:val="28"/>
        </w:rPr>
        <w:t>诊断</w:t>
      </w:r>
      <w:r w:rsidR="006307A8">
        <w:rPr>
          <w:rFonts w:hint="eastAsia"/>
          <w:b/>
          <w:sz w:val="28"/>
          <w:szCs w:val="28"/>
        </w:rPr>
        <w:t>标准</w:t>
      </w:r>
    </w:p>
    <w:p w14:paraId="6B51066C" w14:textId="39B930B5" w:rsidR="00A1214E" w:rsidRDefault="006307A8" w:rsidP="00A1214E">
      <w:pPr>
        <w:rPr>
          <w:kern w:val="0"/>
          <w:sz w:val="28"/>
          <w:szCs w:val="28"/>
        </w:rPr>
      </w:pPr>
      <w:r>
        <w:rPr>
          <w:rFonts w:hint="eastAsia"/>
          <w:kern w:val="0"/>
          <w:sz w:val="28"/>
          <w:szCs w:val="28"/>
        </w:rPr>
        <w:t>1</w:t>
      </w:r>
      <w:r>
        <w:rPr>
          <w:rFonts w:hint="eastAsia"/>
          <w:kern w:val="0"/>
          <w:sz w:val="28"/>
          <w:szCs w:val="28"/>
        </w:rPr>
        <w:t>、</w:t>
      </w:r>
      <w:bookmarkStart w:id="0" w:name="OLE_LINK2"/>
      <w:r w:rsidR="00C67AF2" w:rsidRPr="00C67AF2">
        <w:rPr>
          <w:kern w:val="0"/>
          <w:sz w:val="28"/>
          <w:szCs w:val="28"/>
        </w:rPr>
        <w:t>基于骨密度测定的诊断</w:t>
      </w:r>
      <w:bookmarkEnd w:id="0"/>
      <w:r w:rsidR="00C67AF2" w:rsidRPr="00C67AF2">
        <w:rPr>
          <w:kern w:val="0"/>
          <w:sz w:val="28"/>
          <w:szCs w:val="28"/>
        </w:rPr>
        <w:t>:</w:t>
      </w:r>
      <w:r w:rsidR="00C67AF2" w:rsidRPr="00C67AF2">
        <w:rPr>
          <w:kern w:val="0"/>
          <w:sz w:val="28"/>
          <w:szCs w:val="28"/>
        </w:rPr>
        <w:t>目前</w:t>
      </w:r>
      <w:r w:rsidR="00C67AF2" w:rsidRPr="00C67AF2">
        <w:rPr>
          <w:kern w:val="0"/>
          <w:sz w:val="28"/>
          <w:szCs w:val="28"/>
        </w:rPr>
        <w:t>DXA</w:t>
      </w:r>
      <w:r w:rsidR="00C67AF2" w:rsidRPr="00C67AF2">
        <w:rPr>
          <w:kern w:val="0"/>
          <w:sz w:val="28"/>
          <w:szCs w:val="28"/>
        </w:rPr>
        <w:t>是国际学术界公认的骨密度检查方法，其测定值作为骨质疏松症诊断的金标准。其他临床和科研常用的骨密度测量的方法包括定量计算机断层照相术</w:t>
      </w:r>
      <w:r w:rsidR="00C67AF2" w:rsidRPr="00C67AF2">
        <w:rPr>
          <w:kern w:val="0"/>
          <w:sz w:val="28"/>
          <w:szCs w:val="28"/>
        </w:rPr>
        <w:t>(QCT)</w:t>
      </w:r>
      <w:r w:rsidR="00C67AF2" w:rsidRPr="00C67AF2">
        <w:rPr>
          <w:kern w:val="0"/>
          <w:sz w:val="28"/>
          <w:szCs w:val="28"/>
        </w:rPr>
        <w:t>、外周</w:t>
      </w:r>
      <w:r w:rsidR="00C67AF2" w:rsidRPr="00C67AF2">
        <w:rPr>
          <w:kern w:val="0"/>
          <w:sz w:val="28"/>
          <w:szCs w:val="28"/>
        </w:rPr>
        <w:t>QCT</w:t>
      </w:r>
      <w:r w:rsidR="00C67AF2" w:rsidRPr="00C67AF2">
        <w:rPr>
          <w:kern w:val="0"/>
          <w:sz w:val="28"/>
          <w:szCs w:val="28"/>
        </w:rPr>
        <w:t>、定量超声等。对于绝经后女性、</w:t>
      </w:r>
      <w:r w:rsidR="00C67AF2" w:rsidRPr="00C67AF2">
        <w:rPr>
          <w:kern w:val="0"/>
          <w:sz w:val="28"/>
          <w:szCs w:val="28"/>
        </w:rPr>
        <w:t>50</w:t>
      </w:r>
      <w:r w:rsidR="00C67AF2" w:rsidRPr="00C67AF2">
        <w:rPr>
          <w:kern w:val="0"/>
          <w:sz w:val="28"/>
          <w:szCs w:val="28"/>
        </w:rPr>
        <w:t>岁及以上男性，建议参照</w:t>
      </w:r>
      <w:r w:rsidR="00C67AF2" w:rsidRPr="00C67AF2">
        <w:rPr>
          <w:kern w:val="0"/>
          <w:sz w:val="28"/>
          <w:szCs w:val="28"/>
        </w:rPr>
        <w:t>WHO</w:t>
      </w:r>
      <w:r w:rsidR="00C67AF2" w:rsidRPr="00C67AF2">
        <w:rPr>
          <w:kern w:val="0"/>
          <w:sz w:val="28"/>
          <w:szCs w:val="28"/>
        </w:rPr>
        <w:t>推荐的诊断标准，基于</w:t>
      </w:r>
      <w:r w:rsidR="00C67AF2" w:rsidRPr="00C67AF2">
        <w:rPr>
          <w:kern w:val="0"/>
          <w:sz w:val="28"/>
          <w:szCs w:val="28"/>
        </w:rPr>
        <w:t>DXA</w:t>
      </w:r>
      <w:r w:rsidR="00C67AF2" w:rsidRPr="00C67AF2">
        <w:rPr>
          <w:kern w:val="0"/>
          <w:sz w:val="28"/>
          <w:szCs w:val="28"/>
        </w:rPr>
        <w:t>测量的中轴骨</w:t>
      </w:r>
      <w:r w:rsidR="00C67AF2" w:rsidRPr="00C67AF2">
        <w:rPr>
          <w:kern w:val="0"/>
          <w:sz w:val="28"/>
          <w:szCs w:val="28"/>
        </w:rPr>
        <w:t>(</w:t>
      </w:r>
      <w:r w:rsidR="00C67AF2" w:rsidRPr="00C67AF2">
        <w:rPr>
          <w:kern w:val="0"/>
          <w:sz w:val="28"/>
          <w:szCs w:val="28"/>
        </w:rPr>
        <w:t>腰椎、股骨颈或全髋</w:t>
      </w:r>
      <w:r w:rsidR="00C67AF2" w:rsidRPr="00C67AF2">
        <w:rPr>
          <w:kern w:val="0"/>
          <w:sz w:val="28"/>
          <w:szCs w:val="28"/>
        </w:rPr>
        <w:t>)</w:t>
      </w:r>
      <w:r w:rsidR="00C67AF2" w:rsidRPr="00C67AF2">
        <w:rPr>
          <w:kern w:val="0"/>
          <w:sz w:val="28"/>
          <w:szCs w:val="28"/>
        </w:rPr>
        <w:t>骨密度或桡骨远端</w:t>
      </w:r>
      <w:r w:rsidR="00C67AF2" w:rsidRPr="00C67AF2">
        <w:rPr>
          <w:kern w:val="0"/>
          <w:sz w:val="28"/>
          <w:szCs w:val="28"/>
        </w:rPr>
        <w:t>1/3</w:t>
      </w:r>
      <w:r w:rsidR="00C67AF2" w:rsidRPr="00C67AF2">
        <w:rPr>
          <w:kern w:val="0"/>
          <w:sz w:val="28"/>
          <w:szCs w:val="28"/>
        </w:rPr>
        <w:t>骨密度对骨质疏松症的诊断标准是</w:t>
      </w:r>
      <w:r w:rsidR="00C67AF2" w:rsidRPr="00C67AF2">
        <w:rPr>
          <w:kern w:val="0"/>
          <w:sz w:val="28"/>
          <w:szCs w:val="28"/>
        </w:rPr>
        <w:t>T</w:t>
      </w:r>
      <w:r w:rsidR="00C67AF2" w:rsidRPr="00C67AF2">
        <w:rPr>
          <w:kern w:val="0"/>
          <w:sz w:val="28"/>
          <w:szCs w:val="28"/>
        </w:rPr>
        <w:t>值</w:t>
      </w:r>
      <w:r w:rsidR="00A1214E">
        <w:rPr>
          <w:rFonts w:hint="eastAsia"/>
          <w:kern w:val="0"/>
          <w:sz w:val="28"/>
          <w:szCs w:val="28"/>
        </w:rPr>
        <w:t>≤</w:t>
      </w:r>
      <w:r w:rsidR="00C67AF2" w:rsidRPr="00C67AF2">
        <w:rPr>
          <w:kern w:val="0"/>
          <w:sz w:val="28"/>
          <w:szCs w:val="28"/>
        </w:rPr>
        <w:t>－</w:t>
      </w:r>
      <w:r w:rsidR="00C67AF2" w:rsidRPr="00C67AF2">
        <w:rPr>
          <w:kern w:val="0"/>
          <w:sz w:val="28"/>
          <w:szCs w:val="28"/>
        </w:rPr>
        <w:t>2.5(</w:t>
      </w:r>
      <w:r w:rsidR="00C67AF2" w:rsidRPr="00C67AF2">
        <w:rPr>
          <w:kern w:val="0"/>
          <w:sz w:val="28"/>
          <w:szCs w:val="28"/>
        </w:rPr>
        <w:t>见表</w:t>
      </w:r>
      <w:r w:rsidR="00A1214E">
        <w:rPr>
          <w:kern w:val="0"/>
          <w:sz w:val="28"/>
          <w:szCs w:val="28"/>
        </w:rPr>
        <w:t>1</w:t>
      </w:r>
      <w:r w:rsidR="00C67AF2" w:rsidRPr="00C67AF2">
        <w:rPr>
          <w:kern w:val="0"/>
          <w:sz w:val="28"/>
          <w:szCs w:val="28"/>
        </w:rPr>
        <w:t>)</w:t>
      </w:r>
      <w:r w:rsidR="00C67AF2" w:rsidRPr="00C67AF2">
        <w:rPr>
          <w:kern w:val="0"/>
          <w:sz w:val="28"/>
          <w:szCs w:val="28"/>
        </w:rPr>
        <w:t>。对于儿童、绝经前女性和</w:t>
      </w:r>
      <w:r w:rsidR="00C67AF2" w:rsidRPr="00C67AF2">
        <w:rPr>
          <w:kern w:val="0"/>
          <w:sz w:val="28"/>
          <w:szCs w:val="28"/>
        </w:rPr>
        <w:t>50</w:t>
      </w:r>
      <w:r w:rsidR="00C67AF2" w:rsidRPr="00C67AF2">
        <w:rPr>
          <w:kern w:val="0"/>
          <w:sz w:val="28"/>
          <w:szCs w:val="28"/>
        </w:rPr>
        <w:t>岁以下男性，其骨密度水平的判断建议用同种族的</w:t>
      </w:r>
      <w:r w:rsidR="00C67AF2" w:rsidRPr="00C67AF2">
        <w:rPr>
          <w:kern w:val="0"/>
          <w:sz w:val="28"/>
          <w:szCs w:val="28"/>
        </w:rPr>
        <w:t>Z</w:t>
      </w:r>
      <w:r w:rsidR="00C67AF2" w:rsidRPr="00C67AF2">
        <w:rPr>
          <w:kern w:val="0"/>
          <w:sz w:val="28"/>
          <w:szCs w:val="28"/>
        </w:rPr>
        <w:t>值表示，</w:t>
      </w:r>
      <w:r w:rsidR="00C67AF2" w:rsidRPr="00C67AF2">
        <w:rPr>
          <w:kern w:val="0"/>
          <w:sz w:val="28"/>
          <w:szCs w:val="28"/>
        </w:rPr>
        <w:t>Z</w:t>
      </w:r>
      <w:r w:rsidR="00C67AF2" w:rsidRPr="00C67AF2">
        <w:rPr>
          <w:kern w:val="0"/>
          <w:sz w:val="28"/>
          <w:szCs w:val="28"/>
        </w:rPr>
        <w:t>值</w:t>
      </w:r>
      <w:r w:rsidR="00C67AF2" w:rsidRPr="00C67AF2">
        <w:rPr>
          <w:kern w:val="0"/>
          <w:sz w:val="28"/>
          <w:szCs w:val="28"/>
        </w:rPr>
        <w:t>=(</w:t>
      </w:r>
      <w:r w:rsidR="00C67AF2" w:rsidRPr="00C67AF2">
        <w:rPr>
          <w:kern w:val="0"/>
          <w:sz w:val="28"/>
          <w:szCs w:val="28"/>
        </w:rPr>
        <w:t>骨密度测定值－同种族同性别同龄人骨密度均值</w:t>
      </w:r>
      <w:r w:rsidR="00C67AF2" w:rsidRPr="00C67AF2">
        <w:rPr>
          <w:kern w:val="0"/>
          <w:sz w:val="28"/>
          <w:szCs w:val="28"/>
        </w:rPr>
        <w:t>)/</w:t>
      </w:r>
      <w:r w:rsidR="00C67AF2" w:rsidRPr="00C67AF2">
        <w:rPr>
          <w:kern w:val="0"/>
          <w:sz w:val="28"/>
          <w:szCs w:val="28"/>
        </w:rPr>
        <w:t>同种族同性别同龄人骨密度的标准差</w:t>
      </w:r>
      <w:r w:rsidR="00C67AF2">
        <w:rPr>
          <w:rFonts w:hint="eastAsia"/>
          <w:kern w:val="0"/>
          <w:sz w:val="28"/>
          <w:szCs w:val="28"/>
        </w:rPr>
        <w:t>。</w:t>
      </w:r>
      <w:r w:rsidR="00C67AF2" w:rsidRPr="00C67AF2">
        <w:rPr>
          <w:kern w:val="0"/>
          <w:sz w:val="28"/>
          <w:szCs w:val="28"/>
        </w:rPr>
        <w:t>将</w:t>
      </w:r>
      <w:r w:rsidR="00C67AF2" w:rsidRPr="00C67AF2">
        <w:rPr>
          <w:kern w:val="0"/>
          <w:sz w:val="28"/>
          <w:szCs w:val="28"/>
        </w:rPr>
        <w:t>Z</w:t>
      </w:r>
      <w:r w:rsidR="00C67AF2" w:rsidRPr="00C67AF2">
        <w:rPr>
          <w:kern w:val="0"/>
          <w:sz w:val="28"/>
          <w:szCs w:val="28"/>
        </w:rPr>
        <w:t>值</w:t>
      </w:r>
      <w:r w:rsidR="00C67AF2">
        <w:rPr>
          <w:rFonts w:hint="eastAsia"/>
          <w:kern w:val="0"/>
          <w:sz w:val="28"/>
          <w:szCs w:val="28"/>
        </w:rPr>
        <w:t>≤</w:t>
      </w:r>
      <w:r w:rsidR="00C67AF2" w:rsidRPr="00C67AF2">
        <w:rPr>
          <w:kern w:val="0"/>
          <w:sz w:val="28"/>
          <w:szCs w:val="28"/>
        </w:rPr>
        <w:t>－</w:t>
      </w:r>
      <w:r w:rsidR="00C67AF2" w:rsidRPr="00C67AF2">
        <w:rPr>
          <w:kern w:val="0"/>
          <w:sz w:val="28"/>
          <w:szCs w:val="28"/>
        </w:rPr>
        <w:t>2.0</w:t>
      </w:r>
      <w:r w:rsidR="00C67AF2" w:rsidRPr="00C67AF2">
        <w:rPr>
          <w:kern w:val="0"/>
          <w:sz w:val="28"/>
          <w:szCs w:val="28"/>
        </w:rPr>
        <w:t>视为</w:t>
      </w:r>
      <w:r w:rsidR="00C67AF2" w:rsidRPr="00C67AF2">
        <w:rPr>
          <w:kern w:val="0"/>
          <w:sz w:val="28"/>
          <w:szCs w:val="28"/>
        </w:rPr>
        <w:t>“</w:t>
      </w:r>
      <w:r w:rsidR="00C67AF2" w:rsidRPr="00C67AF2">
        <w:rPr>
          <w:kern w:val="0"/>
          <w:sz w:val="28"/>
          <w:szCs w:val="28"/>
        </w:rPr>
        <w:t>低于同年龄段预期范围</w:t>
      </w:r>
      <w:r w:rsidR="00C67AF2" w:rsidRPr="00C67AF2">
        <w:rPr>
          <w:kern w:val="0"/>
          <w:sz w:val="28"/>
          <w:szCs w:val="28"/>
        </w:rPr>
        <w:t>”</w:t>
      </w:r>
      <w:r w:rsidR="00C67AF2" w:rsidRPr="00C67AF2">
        <w:rPr>
          <w:kern w:val="0"/>
          <w:sz w:val="28"/>
          <w:szCs w:val="28"/>
        </w:rPr>
        <w:t>或低骨量。</w:t>
      </w:r>
    </w:p>
    <w:p w14:paraId="14214738" w14:textId="0D35FDA9" w:rsidR="00A1214E" w:rsidRPr="00A1214E" w:rsidRDefault="00A1214E" w:rsidP="00A1214E">
      <w:pPr>
        <w:rPr>
          <w:kern w:val="0"/>
          <w:sz w:val="28"/>
          <w:szCs w:val="28"/>
        </w:rPr>
      </w:pPr>
      <w:r>
        <w:rPr>
          <w:rFonts w:hint="eastAsia"/>
        </w:rPr>
        <w:t>表格</w:t>
      </w:r>
      <w:r>
        <w:rPr>
          <w:rFonts w:hint="eastAsia"/>
        </w:rPr>
        <w:t xml:space="preserve"> </w:t>
      </w:r>
      <w:r>
        <w:fldChar w:fldCharType="begin"/>
      </w:r>
      <w:r>
        <w:instrText xml:space="preserve"> </w:instrText>
      </w:r>
      <w:r>
        <w:rPr>
          <w:rFonts w:hint="eastAsia"/>
        </w:rPr>
        <w:instrText xml:space="preserve">SEQ </w:instrText>
      </w:r>
      <w:r>
        <w:rPr>
          <w:rFonts w:hint="eastAsia"/>
        </w:rPr>
        <w:instrText>表格</w:instrText>
      </w:r>
      <w:r>
        <w:rPr>
          <w:rFonts w:hint="eastAsia"/>
        </w:rPr>
        <w:instrText xml:space="preserve"> \* ARABIC</w:instrText>
      </w:r>
      <w:r>
        <w:instrText xml:space="preserve"> </w:instrText>
      </w:r>
      <w:r>
        <w:fldChar w:fldCharType="separate"/>
      </w:r>
      <w:r>
        <w:rPr>
          <w:noProof/>
        </w:rPr>
        <w:t>1</w:t>
      </w:r>
      <w:r>
        <w:fldChar w:fldCharType="end"/>
      </w:r>
      <w:r>
        <w:t xml:space="preserve"> </w:t>
      </w:r>
      <w:r w:rsidRPr="00A1214E">
        <w:t>基于</w:t>
      </w:r>
      <w:r>
        <w:rPr>
          <w:rFonts w:hint="eastAsia"/>
        </w:rPr>
        <w:t>D</w:t>
      </w:r>
      <w:r>
        <w:t>XA</w:t>
      </w:r>
      <w:r w:rsidRPr="00A1214E">
        <w:t>测定骨密度诊断</w:t>
      </w:r>
      <w:r>
        <w:rPr>
          <w:rFonts w:hint="eastAsia"/>
        </w:rPr>
        <w:t>标准</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tblGrid>
      <w:tr w:rsidR="00C67AF2" w14:paraId="5CF380F2" w14:textId="77777777" w:rsidTr="00A1214E">
        <w:tc>
          <w:tcPr>
            <w:tcW w:w="2835" w:type="dxa"/>
            <w:tcBorders>
              <w:top w:val="single" w:sz="8" w:space="0" w:color="auto"/>
              <w:bottom w:val="single" w:sz="4" w:space="0" w:color="auto"/>
            </w:tcBorders>
          </w:tcPr>
          <w:p w14:paraId="3882B1FA" w14:textId="278C459D" w:rsidR="00C67AF2" w:rsidRPr="00986408" w:rsidRDefault="00986408" w:rsidP="00986408">
            <w:pPr>
              <w:jc w:val="center"/>
              <w:rPr>
                <w:rFonts w:hint="eastAsia"/>
                <w:kern w:val="0"/>
                <w:szCs w:val="21"/>
              </w:rPr>
            </w:pPr>
            <w:r w:rsidRPr="00986408">
              <w:rPr>
                <w:rFonts w:hint="eastAsia"/>
                <w:kern w:val="0"/>
                <w:szCs w:val="21"/>
              </w:rPr>
              <w:t>诊断</w:t>
            </w:r>
          </w:p>
        </w:tc>
        <w:tc>
          <w:tcPr>
            <w:tcW w:w="2835" w:type="dxa"/>
            <w:tcBorders>
              <w:top w:val="single" w:sz="8" w:space="0" w:color="auto"/>
              <w:bottom w:val="single" w:sz="4" w:space="0" w:color="auto"/>
            </w:tcBorders>
          </w:tcPr>
          <w:p w14:paraId="08F292B9" w14:textId="76408B8C" w:rsidR="00C67AF2" w:rsidRPr="00986408" w:rsidRDefault="00986408" w:rsidP="00986408">
            <w:pPr>
              <w:jc w:val="center"/>
              <w:rPr>
                <w:rFonts w:hint="eastAsia"/>
                <w:kern w:val="0"/>
                <w:szCs w:val="21"/>
              </w:rPr>
            </w:pPr>
            <w:r w:rsidRPr="00986408">
              <w:rPr>
                <w:rFonts w:hint="eastAsia"/>
                <w:kern w:val="0"/>
                <w:szCs w:val="21"/>
              </w:rPr>
              <w:t>T</w:t>
            </w:r>
            <w:r w:rsidRPr="00986408">
              <w:rPr>
                <w:rFonts w:hint="eastAsia"/>
                <w:kern w:val="0"/>
                <w:szCs w:val="21"/>
              </w:rPr>
              <w:t>值</w:t>
            </w:r>
          </w:p>
        </w:tc>
      </w:tr>
      <w:tr w:rsidR="00C67AF2" w14:paraId="25BB30CD" w14:textId="77777777" w:rsidTr="00986408">
        <w:tc>
          <w:tcPr>
            <w:tcW w:w="2835" w:type="dxa"/>
            <w:tcBorders>
              <w:top w:val="single" w:sz="4" w:space="0" w:color="auto"/>
            </w:tcBorders>
          </w:tcPr>
          <w:p w14:paraId="04A6B788" w14:textId="23369A24" w:rsidR="00C67AF2" w:rsidRPr="00986408" w:rsidRDefault="00986408" w:rsidP="00986408">
            <w:pPr>
              <w:jc w:val="center"/>
              <w:rPr>
                <w:rFonts w:hint="eastAsia"/>
                <w:kern w:val="0"/>
                <w:szCs w:val="21"/>
              </w:rPr>
            </w:pPr>
            <w:r w:rsidRPr="00986408">
              <w:rPr>
                <w:rFonts w:hint="eastAsia"/>
                <w:kern w:val="0"/>
                <w:szCs w:val="21"/>
              </w:rPr>
              <w:t>正常</w:t>
            </w:r>
          </w:p>
        </w:tc>
        <w:tc>
          <w:tcPr>
            <w:tcW w:w="2835" w:type="dxa"/>
            <w:tcBorders>
              <w:top w:val="single" w:sz="4" w:space="0" w:color="auto"/>
            </w:tcBorders>
          </w:tcPr>
          <w:p w14:paraId="0ADB9A4D" w14:textId="46A5091D" w:rsidR="00C67AF2" w:rsidRPr="00986408" w:rsidRDefault="00986408" w:rsidP="00986408">
            <w:pPr>
              <w:jc w:val="center"/>
              <w:rPr>
                <w:rFonts w:hint="eastAsia"/>
                <w:kern w:val="0"/>
                <w:szCs w:val="21"/>
              </w:rPr>
            </w:pPr>
            <w:r w:rsidRPr="00986408">
              <w:rPr>
                <w:rFonts w:hint="eastAsia"/>
                <w:kern w:val="0"/>
                <w:szCs w:val="21"/>
              </w:rPr>
              <w:t>T</w:t>
            </w:r>
            <w:r w:rsidRPr="00986408">
              <w:rPr>
                <w:rFonts w:hint="eastAsia"/>
                <w:kern w:val="0"/>
                <w:szCs w:val="21"/>
              </w:rPr>
              <w:t>值</w:t>
            </w:r>
            <w:r w:rsidRPr="00986408">
              <w:rPr>
                <w:rFonts w:hint="eastAsia"/>
                <w:kern w:val="0"/>
                <w:szCs w:val="21"/>
              </w:rPr>
              <w:t>≥</w:t>
            </w:r>
            <w:r w:rsidRPr="00986408">
              <w:rPr>
                <w:rFonts w:hint="eastAsia"/>
                <w:kern w:val="0"/>
                <w:szCs w:val="21"/>
              </w:rPr>
              <w:t>-</w:t>
            </w:r>
            <w:r w:rsidRPr="00986408">
              <w:rPr>
                <w:kern w:val="0"/>
                <w:szCs w:val="21"/>
              </w:rPr>
              <w:t>1.0</w:t>
            </w:r>
          </w:p>
        </w:tc>
      </w:tr>
      <w:tr w:rsidR="00C67AF2" w14:paraId="0B0DA480" w14:textId="77777777" w:rsidTr="00986408">
        <w:tc>
          <w:tcPr>
            <w:tcW w:w="2835" w:type="dxa"/>
          </w:tcPr>
          <w:p w14:paraId="194BDE20" w14:textId="0EC93B8B" w:rsidR="00C67AF2" w:rsidRPr="00986408" w:rsidRDefault="00986408" w:rsidP="00986408">
            <w:pPr>
              <w:jc w:val="center"/>
              <w:rPr>
                <w:rFonts w:hint="eastAsia"/>
                <w:kern w:val="0"/>
                <w:szCs w:val="21"/>
              </w:rPr>
            </w:pPr>
            <w:r w:rsidRPr="00986408">
              <w:rPr>
                <w:rFonts w:hint="eastAsia"/>
                <w:kern w:val="0"/>
                <w:szCs w:val="21"/>
              </w:rPr>
              <w:t>低骨量</w:t>
            </w:r>
          </w:p>
        </w:tc>
        <w:tc>
          <w:tcPr>
            <w:tcW w:w="2835" w:type="dxa"/>
          </w:tcPr>
          <w:p w14:paraId="0E952734" w14:textId="03D4E4C6" w:rsidR="00C67AF2" w:rsidRPr="00986408" w:rsidRDefault="00986408" w:rsidP="00986408">
            <w:pPr>
              <w:jc w:val="center"/>
              <w:rPr>
                <w:rFonts w:hint="eastAsia"/>
                <w:kern w:val="0"/>
                <w:szCs w:val="21"/>
              </w:rPr>
            </w:pPr>
            <w:r w:rsidRPr="00986408">
              <w:rPr>
                <w:rFonts w:hint="eastAsia"/>
                <w:kern w:val="0"/>
                <w:szCs w:val="21"/>
              </w:rPr>
              <w:t>-</w:t>
            </w:r>
            <w:r w:rsidRPr="00986408">
              <w:rPr>
                <w:kern w:val="0"/>
                <w:szCs w:val="21"/>
              </w:rPr>
              <w:t>2.5</w:t>
            </w:r>
            <w:r w:rsidRPr="00986408">
              <w:rPr>
                <w:rFonts w:hint="eastAsia"/>
                <w:kern w:val="0"/>
                <w:szCs w:val="21"/>
              </w:rPr>
              <w:t>＜</w:t>
            </w:r>
            <w:bookmarkStart w:id="1" w:name="OLE_LINK1"/>
            <w:r w:rsidRPr="00986408">
              <w:rPr>
                <w:rFonts w:hint="eastAsia"/>
                <w:kern w:val="0"/>
                <w:szCs w:val="21"/>
              </w:rPr>
              <w:t>T</w:t>
            </w:r>
            <w:r w:rsidRPr="00986408">
              <w:rPr>
                <w:rFonts w:hint="eastAsia"/>
                <w:kern w:val="0"/>
                <w:szCs w:val="21"/>
              </w:rPr>
              <w:t>值</w:t>
            </w:r>
            <w:bookmarkEnd w:id="1"/>
          </w:p>
        </w:tc>
      </w:tr>
      <w:tr w:rsidR="00C67AF2" w14:paraId="63DC9D41" w14:textId="77777777" w:rsidTr="00A1214E">
        <w:tc>
          <w:tcPr>
            <w:tcW w:w="2835" w:type="dxa"/>
          </w:tcPr>
          <w:p w14:paraId="256C753A" w14:textId="46DBC795" w:rsidR="00C67AF2" w:rsidRPr="00986408" w:rsidRDefault="00986408" w:rsidP="00986408">
            <w:pPr>
              <w:jc w:val="center"/>
              <w:rPr>
                <w:rFonts w:hint="eastAsia"/>
                <w:kern w:val="0"/>
                <w:szCs w:val="21"/>
              </w:rPr>
            </w:pPr>
            <w:r w:rsidRPr="00986408">
              <w:rPr>
                <w:rFonts w:hint="eastAsia"/>
                <w:kern w:val="0"/>
                <w:szCs w:val="21"/>
              </w:rPr>
              <w:t>骨质疏松</w:t>
            </w:r>
          </w:p>
        </w:tc>
        <w:tc>
          <w:tcPr>
            <w:tcW w:w="2835" w:type="dxa"/>
          </w:tcPr>
          <w:p w14:paraId="4CDA0AC9" w14:textId="1F86F9F7" w:rsidR="00C67AF2" w:rsidRPr="00986408" w:rsidRDefault="00986408" w:rsidP="00986408">
            <w:pPr>
              <w:jc w:val="center"/>
              <w:rPr>
                <w:rFonts w:hint="eastAsia"/>
                <w:kern w:val="0"/>
                <w:szCs w:val="21"/>
              </w:rPr>
            </w:pPr>
            <w:r w:rsidRPr="00986408">
              <w:rPr>
                <w:rFonts w:hint="eastAsia"/>
                <w:kern w:val="0"/>
                <w:szCs w:val="21"/>
              </w:rPr>
              <w:t>T</w:t>
            </w:r>
            <w:r w:rsidRPr="00986408">
              <w:rPr>
                <w:rFonts w:hint="eastAsia"/>
                <w:kern w:val="0"/>
                <w:szCs w:val="21"/>
              </w:rPr>
              <w:t>值＜</w:t>
            </w:r>
            <w:r w:rsidRPr="00986408">
              <w:rPr>
                <w:rFonts w:hint="eastAsia"/>
                <w:kern w:val="0"/>
                <w:szCs w:val="21"/>
              </w:rPr>
              <w:t>-</w:t>
            </w:r>
            <w:r w:rsidRPr="00986408">
              <w:rPr>
                <w:kern w:val="0"/>
                <w:szCs w:val="21"/>
              </w:rPr>
              <w:t>2.5</w:t>
            </w:r>
          </w:p>
        </w:tc>
      </w:tr>
      <w:tr w:rsidR="00C67AF2" w14:paraId="7F562862" w14:textId="77777777" w:rsidTr="00A1214E">
        <w:tc>
          <w:tcPr>
            <w:tcW w:w="2835" w:type="dxa"/>
            <w:tcBorders>
              <w:bottom w:val="single" w:sz="8" w:space="0" w:color="auto"/>
            </w:tcBorders>
          </w:tcPr>
          <w:p w14:paraId="2189B775" w14:textId="38D2A1BF" w:rsidR="00C67AF2" w:rsidRPr="00986408" w:rsidRDefault="00986408" w:rsidP="00986408">
            <w:pPr>
              <w:jc w:val="center"/>
              <w:rPr>
                <w:rFonts w:hint="eastAsia"/>
                <w:kern w:val="0"/>
                <w:szCs w:val="21"/>
              </w:rPr>
            </w:pPr>
            <w:r w:rsidRPr="00986408">
              <w:rPr>
                <w:rFonts w:hint="eastAsia"/>
                <w:kern w:val="0"/>
                <w:szCs w:val="21"/>
              </w:rPr>
              <w:t>严重骨质疏松</w:t>
            </w:r>
          </w:p>
        </w:tc>
        <w:tc>
          <w:tcPr>
            <w:tcW w:w="2835" w:type="dxa"/>
            <w:tcBorders>
              <w:bottom w:val="single" w:sz="8" w:space="0" w:color="auto"/>
            </w:tcBorders>
          </w:tcPr>
          <w:p w14:paraId="3B4FCC1C" w14:textId="26C70663" w:rsidR="00C67AF2" w:rsidRPr="00986408" w:rsidRDefault="00986408" w:rsidP="00986408">
            <w:pPr>
              <w:jc w:val="center"/>
              <w:rPr>
                <w:rFonts w:hint="eastAsia"/>
                <w:kern w:val="0"/>
                <w:szCs w:val="21"/>
              </w:rPr>
            </w:pPr>
            <w:r w:rsidRPr="00986408">
              <w:rPr>
                <w:kern w:val="0"/>
                <w:szCs w:val="21"/>
              </w:rPr>
              <w:t>T</w:t>
            </w:r>
            <w:r w:rsidRPr="00986408">
              <w:rPr>
                <w:rFonts w:hint="eastAsia"/>
                <w:kern w:val="0"/>
                <w:szCs w:val="21"/>
              </w:rPr>
              <w:t>值</w:t>
            </w:r>
            <w:r w:rsidRPr="00986408">
              <w:rPr>
                <w:rFonts w:hint="eastAsia"/>
                <w:kern w:val="0"/>
                <w:szCs w:val="21"/>
              </w:rPr>
              <w:t>+</w:t>
            </w:r>
            <w:r w:rsidRPr="00986408">
              <w:rPr>
                <w:rFonts w:hint="eastAsia"/>
                <w:kern w:val="0"/>
                <w:szCs w:val="21"/>
              </w:rPr>
              <w:t>脆性骨折</w:t>
            </w:r>
          </w:p>
        </w:tc>
      </w:tr>
    </w:tbl>
    <w:p w14:paraId="398C0AD7" w14:textId="36DF2FED" w:rsidR="00C67AF2" w:rsidRDefault="00C67AF2" w:rsidP="00C67AF2">
      <w:pPr>
        <w:ind w:firstLineChars="200" w:firstLine="560"/>
        <w:rPr>
          <w:kern w:val="0"/>
          <w:sz w:val="28"/>
          <w:szCs w:val="28"/>
        </w:rPr>
      </w:pPr>
    </w:p>
    <w:p w14:paraId="33B24FDC" w14:textId="436FD2A4" w:rsidR="00A1214E" w:rsidRDefault="006307A8" w:rsidP="00A1214E">
      <w:pPr>
        <w:rPr>
          <w:kern w:val="0"/>
          <w:sz w:val="28"/>
          <w:szCs w:val="28"/>
        </w:rPr>
      </w:pPr>
      <w:r>
        <w:rPr>
          <w:rFonts w:hint="eastAsia"/>
          <w:kern w:val="0"/>
          <w:sz w:val="28"/>
          <w:szCs w:val="28"/>
        </w:rPr>
        <w:t>2</w:t>
      </w:r>
      <w:r>
        <w:rPr>
          <w:rFonts w:hint="eastAsia"/>
          <w:kern w:val="0"/>
          <w:sz w:val="28"/>
          <w:szCs w:val="28"/>
        </w:rPr>
        <w:t>、</w:t>
      </w:r>
      <w:r w:rsidRPr="006307A8">
        <w:rPr>
          <w:kern w:val="0"/>
          <w:sz w:val="28"/>
          <w:szCs w:val="28"/>
        </w:rPr>
        <w:t>基于脆性骨折的诊断</w:t>
      </w:r>
      <w:r w:rsidR="00500E0F">
        <w:rPr>
          <w:rFonts w:hint="eastAsia"/>
          <w:kern w:val="0"/>
          <w:sz w:val="28"/>
          <w:szCs w:val="28"/>
        </w:rPr>
        <w:t>：</w:t>
      </w:r>
      <w:r w:rsidRPr="006307A8">
        <w:rPr>
          <w:kern w:val="0"/>
          <w:sz w:val="28"/>
          <w:szCs w:val="28"/>
        </w:rPr>
        <w:t>髋部或椎体发生脆性骨折，不依赖于</w:t>
      </w:r>
      <w:r w:rsidRPr="006307A8">
        <w:rPr>
          <w:kern w:val="0"/>
          <w:sz w:val="28"/>
          <w:szCs w:val="28"/>
        </w:rPr>
        <w:lastRenderedPageBreak/>
        <w:t>骨密度测定，临床上即可诊断骨质疏松症。而在肱骨近端、骨盆或前臂远端发生的脆性骨折，即使骨密度测定显示低骨量</w:t>
      </w:r>
      <w:r w:rsidRPr="006307A8">
        <w:rPr>
          <w:kern w:val="0"/>
          <w:sz w:val="28"/>
          <w:szCs w:val="28"/>
        </w:rPr>
        <w:t>(</w:t>
      </w:r>
      <w:r w:rsidRPr="006307A8">
        <w:rPr>
          <w:kern w:val="0"/>
          <w:sz w:val="28"/>
          <w:szCs w:val="28"/>
        </w:rPr>
        <w:t>－</w:t>
      </w:r>
      <w:r w:rsidRPr="006307A8">
        <w:rPr>
          <w:kern w:val="0"/>
          <w:sz w:val="28"/>
          <w:szCs w:val="28"/>
        </w:rPr>
        <w:t>2.5</w:t>
      </w:r>
      <w:r w:rsidRPr="006307A8">
        <w:rPr>
          <w:kern w:val="0"/>
          <w:sz w:val="28"/>
          <w:szCs w:val="28"/>
        </w:rPr>
        <w:t>＜</w:t>
      </w:r>
      <w:r w:rsidRPr="006307A8">
        <w:rPr>
          <w:kern w:val="0"/>
          <w:sz w:val="28"/>
          <w:szCs w:val="28"/>
        </w:rPr>
        <w:t>T</w:t>
      </w:r>
      <w:r w:rsidRPr="006307A8">
        <w:rPr>
          <w:kern w:val="0"/>
          <w:sz w:val="28"/>
          <w:szCs w:val="28"/>
        </w:rPr>
        <w:t>值＜－</w:t>
      </w:r>
      <w:r w:rsidRPr="006307A8">
        <w:rPr>
          <w:kern w:val="0"/>
          <w:sz w:val="28"/>
          <w:szCs w:val="28"/>
        </w:rPr>
        <w:t xml:space="preserve">1.0) </w:t>
      </w:r>
      <w:r w:rsidRPr="006307A8">
        <w:rPr>
          <w:kern w:val="0"/>
          <w:sz w:val="28"/>
          <w:szCs w:val="28"/>
        </w:rPr>
        <w:t>，也可诊断骨质疏松症</w:t>
      </w:r>
      <w:r w:rsidR="00A1214E">
        <w:rPr>
          <w:rFonts w:hint="eastAsia"/>
          <w:kern w:val="0"/>
          <w:sz w:val="28"/>
          <w:szCs w:val="28"/>
        </w:rPr>
        <w:t>（见表</w:t>
      </w:r>
      <w:r w:rsidR="00A1214E">
        <w:rPr>
          <w:rFonts w:hint="eastAsia"/>
          <w:kern w:val="0"/>
          <w:sz w:val="28"/>
          <w:szCs w:val="28"/>
        </w:rPr>
        <w:t>2</w:t>
      </w:r>
      <w:r w:rsidR="00A1214E">
        <w:rPr>
          <w:rFonts w:hint="eastAsia"/>
          <w:kern w:val="0"/>
          <w:sz w:val="28"/>
          <w:szCs w:val="28"/>
        </w:rPr>
        <w:t>）</w:t>
      </w:r>
      <w:r w:rsidRPr="006307A8">
        <w:rPr>
          <w:kern w:val="0"/>
          <w:sz w:val="28"/>
          <w:szCs w:val="28"/>
        </w:rPr>
        <w:t>。</w:t>
      </w:r>
    </w:p>
    <w:p w14:paraId="4947A5A1" w14:textId="54A40721" w:rsidR="00A1214E" w:rsidRPr="00A1214E" w:rsidRDefault="00A1214E" w:rsidP="00A1214E">
      <w:pPr>
        <w:rPr>
          <w:kern w:val="0"/>
          <w:sz w:val="28"/>
          <w:szCs w:val="28"/>
        </w:rPr>
      </w:pPr>
      <w:r>
        <w:rPr>
          <w:rFonts w:hint="eastAsia"/>
        </w:rPr>
        <w:t>表格</w:t>
      </w:r>
      <w:r>
        <w:rPr>
          <w:rFonts w:hint="eastAsia"/>
        </w:rPr>
        <w:t xml:space="preserve"> </w:t>
      </w:r>
      <w:r>
        <w:fldChar w:fldCharType="begin"/>
      </w:r>
      <w:r>
        <w:instrText xml:space="preserve"> </w:instrText>
      </w:r>
      <w:r>
        <w:rPr>
          <w:rFonts w:hint="eastAsia"/>
        </w:rPr>
        <w:instrText xml:space="preserve">SEQ </w:instrText>
      </w:r>
      <w:r>
        <w:rPr>
          <w:rFonts w:hint="eastAsia"/>
        </w:rPr>
        <w:instrText>表格</w:instrText>
      </w:r>
      <w:r>
        <w:rPr>
          <w:rFonts w:hint="eastAsia"/>
        </w:rPr>
        <w:instrText xml:space="preserve"> \* ARABIC</w:instrText>
      </w:r>
      <w:r>
        <w:instrText xml:space="preserve"> </w:instrText>
      </w:r>
      <w:r>
        <w:fldChar w:fldCharType="separate"/>
      </w:r>
      <w:r>
        <w:rPr>
          <w:noProof/>
        </w:rPr>
        <w:t>2</w:t>
      </w:r>
      <w:r>
        <w:fldChar w:fldCharType="end"/>
      </w:r>
      <w:r>
        <w:t xml:space="preserve"> </w:t>
      </w:r>
      <w:r>
        <w:rPr>
          <w:rFonts w:hint="eastAsia"/>
        </w:rPr>
        <w:t>骨质疏松症诊断标准</w:t>
      </w:r>
    </w:p>
    <w:tbl>
      <w:tblPr>
        <w:tblStyle w:val="af6"/>
        <w:tblW w:w="0" w:type="auto"/>
        <w:tblBorders>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570"/>
      </w:tblGrid>
      <w:tr w:rsidR="006307A8" w:rsidRPr="00A1214E" w14:paraId="167E1743" w14:textId="77777777" w:rsidTr="00A1214E">
        <w:tc>
          <w:tcPr>
            <w:tcW w:w="7786" w:type="dxa"/>
            <w:tcBorders>
              <w:top w:val="single" w:sz="8" w:space="0" w:color="auto"/>
              <w:bottom w:val="single" w:sz="4" w:space="0" w:color="auto"/>
            </w:tcBorders>
          </w:tcPr>
          <w:p w14:paraId="6B32CA0C" w14:textId="6A1DFF16" w:rsidR="006307A8" w:rsidRPr="00A1214E" w:rsidRDefault="006307A8" w:rsidP="006307A8">
            <w:pPr>
              <w:rPr>
                <w:rFonts w:hint="eastAsia"/>
                <w:kern w:val="0"/>
                <w:szCs w:val="21"/>
              </w:rPr>
            </w:pPr>
            <w:r w:rsidRPr="00A1214E">
              <w:rPr>
                <w:kern w:val="0"/>
                <w:szCs w:val="21"/>
              </w:rPr>
              <w:t>骨质疏松症的诊断标准</w:t>
            </w:r>
            <w:r w:rsidRPr="00A1214E">
              <w:rPr>
                <w:kern w:val="0"/>
                <w:szCs w:val="21"/>
              </w:rPr>
              <w:t>(</w:t>
            </w:r>
            <w:r w:rsidRPr="00A1214E">
              <w:rPr>
                <w:kern w:val="0"/>
                <w:szCs w:val="21"/>
              </w:rPr>
              <w:t>符合以下三条中之一者</w:t>
            </w:r>
            <w:r w:rsidRPr="00A1214E">
              <w:rPr>
                <w:kern w:val="0"/>
                <w:szCs w:val="21"/>
              </w:rPr>
              <w:t>)</w:t>
            </w:r>
          </w:p>
        </w:tc>
      </w:tr>
      <w:tr w:rsidR="006307A8" w:rsidRPr="00A1214E" w14:paraId="3D2CC7F1" w14:textId="77777777" w:rsidTr="00A1214E">
        <w:tc>
          <w:tcPr>
            <w:tcW w:w="7786" w:type="dxa"/>
            <w:tcBorders>
              <w:top w:val="single" w:sz="4" w:space="0" w:color="auto"/>
            </w:tcBorders>
          </w:tcPr>
          <w:p w14:paraId="7E4F2434" w14:textId="5488436F" w:rsidR="006307A8" w:rsidRPr="00A1214E" w:rsidRDefault="006307A8" w:rsidP="006307A8">
            <w:pPr>
              <w:rPr>
                <w:rFonts w:hint="eastAsia"/>
                <w:kern w:val="0"/>
                <w:szCs w:val="21"/>
              </w:rPr>
            </w:pPr>
            <w:r w:rsidRPr="00A1214E">
              <w:rPr>
                <w:kern w:val="0"/>
                <w:szCs w:val="21"/>
              </w:rPr>
              <w:t>髋部或椎体脆性骨折</w:t>
            </w:r>
          </w:p>
        </w:tc>
      </w:tr>
      <w:tr w:rsidR="006307A8" w:rsidRPr="00A1214E" w14:paraId="4EB45E3E" w14:textId="77777777" w:rsidTr="00A1214E">
        <w:tc>
          <w:tcPr>
            <w:tcW w:w="7786" w:type="dxa"/>
            <w:tcBorders>
              <w:bottom w:val="nil"/>
            </w:tcBorders>
          </w:tcPr>
          <w:p w14:paraId="79FF3580" w14:textId="2B688DC5" w:rsidR="006307A8" w:rsidRPr="00A1214E" w:rsidRDefault="006307A8" w:rsidP="006307A8">
            <w:pPr>
              <w:rPr>
                <w:rFonts w:hint="eastAsia"/>
                <w:kern w:val="0"/>
                <w:szCs w:val="21"/>
              </w:rPr>
            </w:pPr>
            <w:r w:rsidRPr="00A1214E">
              <w:rPr>
                <w:kern w:val="0"/>
                <w:szCs w:val="21"/>
              </w:rPr>
              <w:t>DXA</w:t>
            </w:r>
            <w:r w:rsidRPr="00A1214E">
              <w:rPr>
                <w:kern w:val="0"/>
                <w:szCs w:val="21"/>
              </w:rPr>
              <w:t>测量的中轴骨骨密度或桡骨远端</w:t>
            </w:r>
            <w:r w:rsidRPr="00A1214E">
              <w:rPr>
                <w:kern w:val="0"/>
                <w:szCs w:val="21"/>
              </w:rPr>
              <w:t>1/3</w:t>
            </w:r>
            <w:r w:rsidRPr="00A1214E">
              <w:rPr>
                <w:kern w:val="0"/>
                <w:szCs w:val="21"/>
              </w:rPr>
              <w:t>骨密度的</w:t>
            </w:r>
            <w:r w:rsidRPr="00A1214E">
              <w:rPr>
                <w:kern w:val="0"/>
                <w:szCs w:val="21"/>
              </w:rPr>
              <w:t>T</w:t>
            </w:r>
            <w:r w:rsidRPr="00A1214E">
              <w:rPr>
                <w:kern w:val="0"/>
                <w:szCs w:val="21"/>
              </w:rPr>
              <w:t>值</w:t>
            </w:r>
            <w:r w:rsidRPr="00A1214E">
              <w:rPr>
                <w:kern w:val="0"/>
                <w:szCs w:val="21"/>
              </w:rPr>
              <w:t>≤</w:t>
            </w:r>
            <w:r w:rsidRPr="00A1214E">
              <w:rPr>
                <w:kern w:val="0"/>
                <w:szCs w:val="21"/>
              </w:rPr>
              <w:t>－</w:t>
            </w:r>
            <w:r w:rsidRPr="00A1214E">
              <w:rPr>
                <w:kern w:val="0"/>
                <w:szCs w:val="21"/>
              </w:rPr>
              <w:t>2.5</w:t>
            </w:r>
          </w:p>
        </w:tc>
      </w:tr>
      <w:tr w:rsidR="006307A8" w:rsidRPr="00A1214E" w14:paraId="5533846B" w14:textId="77777777" w:rsidTr="00A1214E">
        <w:tc>
          <w:tcPr>
            <w:tcW w:w="7786" w:type="dxa"/>
            <w:tcBorders>
              <w:top w:val="nil"/>
              <w:bottom w:val="single" w:sz="8" w:space="0" w:color="auto"/>
            </w:tcBorders>
          </w:tcPr>
          <w:p w14:paraId="78905C58" w14:textId="7DCE312A" w:rsidR="006307A8" w:rsidRPr="00A1214E" w:rsidRDefault="006307A8" w:rsidP="006307A8">
            <w:pPr>
              <w:rPr>
                <w:rFonts w:hint="eastAsia"/>
                <w:kern w:val="0"/>
                <w:szCs w:val="21"/>
              </w:rPr>
            </w:pPr>
            <w:r w:rsidRPr="00A1214E">
              <w:rPr>
                <w:kern w:val="0"/>
                <w:szCs w:val="21"/>
              </w:rPr>
              <w:t>骨密度测量符合低骨量</w:t>
            </w:r>
            <w:r w:rsidRPr="00A1214E">
              <w:rPr>
                <w:kern w:val="0"/>
                <w:szCs w:val="21"/>
              </w:rPr>
              <w:t>(</w:t>
            </w:r>
            <w:r w:rsidRPr="00A1214E">
              <w:rPr>
                <w:kern w:val="0"/>
                <w:szCs w:val="21"/>
              </w:rPr>
              <w:t>－</w:t>
            </w:r>
            <w:r w:rsidRPr="00A1214E">
              <w:rPr>
                <w:kern w:val="0"/>
                <w:szCs w:val="21"/>
              </w:rPr>
              <w:t>2.5</w:t>
            </w:r>
            <w:r w:rsidRPr="00A1214E">
              <w:rPr>
                <w:kern w:val="0"/>
                <w:szCs w:val="21"/>
              </w:rPr>
              <w:t>＜</w:t>
            </w:r>
            <w:r w:rsidRPr="00A1214E">
              <w:rPr>
                <w:kern w:val="0"/>
                <w:szCs w:val="21"/>
              </w:rPr>
              <w:t>T</w:t>
            </w:r>
            <w:r w:rsidRPr="00A1214E">
              <w:rPr>
                <w:kern w:val="0"/>
                <w:szCs w:val="21"/>
              </w:rPr>
              <w:t>值＜－</w:t>
            </w:r>
            <w:r w:rsidRPr="00A1214E">
              <w:rPr>
                <w:kern w:val="0"/>
                <w:szCs w:val="21"/>
              </w:rPr>
              <w:t>1.0)+</w:t>
            </w:r>
            <w:r w:rsidRPr="00A1214E">
              <w:rPr>
                <w:kern w:val="0"/>
                <w:szCs w:val="21"/>
              </w:rPr>
              <w:t>肱骨近端、骨盆或前臂远端脆性骨折</w:t>
            </w:r>
          </w:p>
        </w:tc>
      </w:tr>
    </w:tbl>
    <w:p w14:paraId="381CAB0B" w14:textId="59294E0E" w:rsidR="00A63229" w:rsidRPr="00D2201C" w:rsidRDefault="00D2201C" w:rsidP="00D2201C">
      <w:pPr>
        <w:pStyle w:val="a0"/>
        <w:numPr>
          <w:ilvl w:val="1"/>
          <w:numId w:val="0"/>
        </w:numPr>
        <w:spacing w:before="156" w:after="156" w:line="360" w:lineRule="auto"/>
        <w:jc w:val="both"/>
        <w:rPr>
          <w:rFonts w:asciiTheme="majorEastAsia" w:eastAsiaTheme="majorEastAsia" w:hAnsiTheme="majorEastAsia"/>
          <w:b/>
          <w:sz w:val="28"/>
          <w:szCs w:val="28"/>
        </w:rPr>
      </w:pPr>
      <w:r w:rsidRPr="00D2201C">
        <w:rPr>
          <w:rFonts w:asciiTheme="majorEastAsia" w:eastAsiaTheme="majorEastAsia" w:hAnsiTheme="majorEastAsia" w:cs="AdobeSongStd-Light" w:hint="eastAsia"/>
          <w:b/>
          <w:sz w:val="28"/>
          <w:szCs w:val="28"/>
        </w:rPr>
        <w:t>二</w:t>
      </w:r>
      <w:r w:rsidR="00A63229" w:rsidRPr="00D2201C">
        <w:rPr>
          <w:rFonts w:asciiTheme="majorEastAsia" w:eastAsiaTheme="majorEastAsia" w:hAnsiTheme="majorEastAsia" w:cs="AdobeSongStd-Light" w:hint="eastAsia"/>
          <w:b/>
          <w:sz w:val="28"/>
          <w:szCs w:val="28"/>
        </w:rPr>
        <w:t>、中医</w:t>
      </w:r>
      <w:r w:rsidRPr="00D2201C">
        <w:rPr>
          <w:rFonts w:asciiTheme="majorEastAsia" w:eastAsiaTheme="majorEastAsia" w:hAnsiTheme="majorEastAsia" w:cs="AdobeSongStd-Light" w:hint="eastAsia"/>
          <w:b/>
          <w:sz w:val="28"/>
          <w:szCs w:val="28"/>
        </w:rPr>
        <w:t>辨证分型</w:t>
      </w:r>
    </w:p>
    <w:p w14:paraId="611B2B4C" w14:textId="77777777" w:rsidR="00A63229" w:rsidRDefault="00A63229" w:rsidP="00D2201C">
      <w:pPr>
        <w:autoSpaceDE w:val="0"/>
        <w:autoSpaceDN w:val="0"/>
        <w:spacing w:line="360" w:lineRule="auto"/>
        <w:ind w:firstLineChars="100" w:firstLine="281"/>
        <w:rPr>
          <w:rFonts w:ascii="宋体" w:hAnsi="宋体"/>
          <w:b/>
          <w:sz w:val="28"/>
          <w:szCs w:val="28"/>
        </w:rPr>
      </w:pPr>
      <w:r>
        <w:rPr>
          <w:rFonts w:ascii="宋体" w:hAnsi="宋体" w:hint="eastAsia"/>
          <w:b/>
          <w:sz w:val="28"/>
          <w:szCs w:val="28"/>
        </w:rPr>
        <w:t>（1）脾肾阳虚型</w:t>
      </w:r>
    </w:p>
    <w:p w14:paraId="6A58E18B" w14:textId="77777777" w:rsidR="00A63229" w:rsidRDefault="00A63229">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主证：腰背冷痛，腰膝酸软，乏力气短，不能久坐，活动受限，甚则驼背，弯腰。畏寒，喜暖，遇寒加重，小便频多，舌质淡，苔白腻，脉沉细或弦。</w:t>
      </w:r>
    </w:p>
    <w:p w14:paraId="6ED170A7" w14:textId="77777777" w:rsidR="00A63229" w:rsidRDefault="00A63229">
      <w:pPr>
        <w:autoSpaceDE w:val="0"/>
        <w:autoSpaceDN w:val="0"/>
        <w:spacing w:line="360" w:lineRule="auto"/>
        <w:ind w:firstLineChars="98" w:firstLine="275"/>
        <w:rPr>
          <w:rFonts w:ascii="宋体" w:hAnsi="宋体"/>
          <w:b/>
          <w:sz w:val="28"/>
          <w:szCs w:val="28"/>
        </w:rPr>
      </w:pPr>
      <w:r>
        <w:rPr>
          <w:rFonts w:ascii="宋体" w:hAnsi="宋体" w:hint="eastAsia"/>
          <w:b/>
          <w:sz w:val="28"/>
          <w:szCs w:val="28"/>
        </w:rPr>
        <w:t>（2）肝肾阴虚型</w:t>
      </w:r>
    </w:p>
    <w:p w14:paraId="73DBAABB" w14:textId="77777777" w:rsidR="00A63229" w:rsidRDefault="00A63229">
      <w:pPr>
        <w:autoSpaceDE w:val="0"/>
        <w:autoSpaceDN w:val="0"/>
        <w:spacing w:line="360" w:lineRule="auto"/>
        <w:ind w:firstLineChars="200" w:firstLine="560"/>
        <w:rPr>
          <w:rFonts w:ascii="宋体" w:hAnsi="宋体"/>
          <w:sz w:val="28"/>
          <w:szCs w:val="28"/>
        </w:rPr>
      </w:pPr>
      <w:r>
        <w:rPr>
          <w:rFonts w:ascii="宋体" w:hAnsi="宋体" w:hint="eastAsia"/>
          <w:sz w:val="28"/>
          <w:szCs w:val="28"/>
        </w:rPr>
        <w:t>主证：腰背酸痛，腰膝酸软，不能久坐，疲乏少力，头晕目眩，耳鸣健忘，失眠多梦，五心烦热，颧红盗汗，男子遗精，舌红少苔，脉细数。</w:t>
      </w:r>
    </w:p>
    <w:p w14:paraId="4D31AFB5" w14:textId="77777777" w:rsidR="00A63229" w:rsidRDefault="00A63229">
      <w:pPr>
        <w:pStyle w:val="af5"/>
        <w:adjustRightInd w:val="0"/>
        <w:snapToGrid w:val="0"/>
        <w:spacing w:line="360" w:lineRule="auto"/>
        <w:ind w:firstLineChars="98" w:firstLine="275"/>
        <w:rPr>
          <w:rFonts w:ascii="宋体" w:hAnsi="宋体"/>
          <w:b/>
          <w:bCs/>
          <w:sz w:val="28"/>
          <w:szCs w:val="28"/>
        </w:rPr>
      </w:pPr>
      <w:r>
        <w:rPr>
          <w:rFonts w:ascii="宋体" w:hAnsi="宋体" w:hint="eastAsia"/>
          <w:b/>
          <w:sz w:val="28"/>
          <w:szCs w:val="28"/>
        </w:rPr>
        <w:t>（3）</w:t>
      </w:r>
      <w:r>
        <w:rPr>
          <w:rFonts w:ascii="宋体" w:hAnsi="宋体" w:hint="eastAsia"/>
          <w:b/>
          <w:bCs/>
          <w:sz w:val="28"/>
          <w:szCs w:val="28"/>
        </w:rPr>
        <w:t>气滞血瘀型</w:t>
      </w:r>
    </w:p>
    <w:p w14:paraId="062EA2A0" w14:textId="77777777" w:rsidR="00A63229" w:rsidRDefault="00A63229">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主证：腰背酸痛，甚则弯腰驼背，活动受限，不能久坐，或四肢关节变形，胁肋胀闷，走窜疼痛，性情急躁，或胁下痞块，刺痛拒按，舌暗红，苔白腻，脉沉弦。</w:t>
      </w:r>
    </w:p>
    <w:p w14:paraId="46218EDE" w14:textId="77777777" w:rsidR="00A63229" w:rsidRDefault="00F8501C" w:rsidP="00F8501C">
      <w:pPr>
        <w:pStyle w:val="af5"/>
        <w:adjustRightInd w:val="0"/>
        <w:snapToGrid w:val="0"/>
        <w:spacing w:line="360" w:lineRule="auto"/>
        <w:ind w:firstLineChars="98" w:firstLine="275"/>
        <w:rPr>
          <w:rFonts w:ascii="宋体" w:hAnsi="宋体"/>
          <w:b/>
          <w:sz w:val="28"/>
          <w:szCs w:val="28"/>
        </w:rPr>
      </w:pPr>
      <w:r w:rsidRPr="00F8501C">
        <w:rPr>
          <w:rFonts w:ascii="宋体" w:hAnsi="宋体" w:hint="eastAsia"/>
          <w:b/>
          <w:sz w:val="28"/>
          <w:szCs w:val="28"/>
        </w:rPr>
        <w:t>（4）</w:t>
      </w:r>
      <w:r w:rsidR="00A63229" w:rsidRPr="00F8501C">
        <w:rPr>
          <w:rFonts w:ascii="宋体" w:hAnsi="宋体" w:hint="eastAsia"/>
          <w:b/>
          <w:sz w:val="28"/>
          <w:szCs w:val="28"/>
        </w:rPr>
        <w:t xml:space="preserve"> </w:t>
      </w:r>
      <w:r w:rsidRPr="00F8501C">
        <w:rPr>
          <w:rFonts w:ascii="宋体" w:hAnsi="宋体" w:hint="eastAsia"/>
          <w:b/>
          <w:sz w:val="28"/>
          <w:szCs w:val="28"/>
        </w:rPr>
        <w:t>气滞血瘀型（骨折）</w:t>
      </w:r>
    </w:p>
    <w:p w14:paraId="1072C413" w14:textId="77777777" w:rsidR="00F8501C" w:rsidRDefault="00F8501C" w:rsidP="00F8501C">
      <w:pPr>
        <w:pStyle w:val="af5"/>
        <w:adjustRightInd w:val="0"/>
        <w:snapToGrid w:val="0"/>
        <w:spacing w:line="360" w:lineRule="auto"/>
        <w:ind w:firstLineChars="98" w:firstLine="274"/>
        <w:rPr>
          <w:rFonts w:ascii="宋体" w:hAnsi="宋体"/>
          <w:sz w:val="28"/>
          <w:szCs w:val="28"/>
        </w:rPr>
      </w:pPr>
      <w:r>
        <w:rPr>
          <w:rFonts w:ascii="宋体" w:hAnsi="宋体" w:hint="eastAsia"/>
          <w:sz w:val="28"/>
          <w:szCs w:val="28"/>
        </w:rPr>
        <w:t xml:space="preserve">  </w:t>
      </w:r>
      <w:r w:rsidRPr="00F8501C">
        <w:rPr>
          <w:rFonts w:ascii="宋体" w:hAnsi="宋体" w:hint="eastAsia"/>
          <w:sz w:val="28"/>
          <w:szCs w:val="28"/>
        </w:rPr>
        <w:t>主证：</w:t>
      </w:r>
      <w:r>
        <w:rPr>
          <w:rFonts w:ascii="宋体" w:hAnsi="宋体" w:hint="eastAsia"/>
          <w:sz w:val="28"/>
          <w:szCs w:val="28"/>
        </w:rPr>
        <w:t>胸腰背部疼痛，活动受限，体位改变时尤甚，可伴</w:t>
      </w:r>
      <w:r>
        <w:rPr>
          <w:rFonts w:ascii="宋体" w:hAnsi="宋体" w:hint="eastAsia"/>
          <w:sz w:val="28"/>
          <w:szCs w:val="28"/>
        </w:rPr>
        <w:lastRenderedPageBreak/>
        <w:t>胸胁部胀痛、腹胀、便秘，</w:t>
      </w:r>
      <w:r w:rsidR="00EB17B8">
        <w:rPr>
          <w:rFonts w:ascii="宋体" w:hAnsi="宋体" w:hint="eastAsia"/>
          <w:sz w:val="28"/>
          <w:szCs w:val="28"/>
        </w:rPr>
        <w:t>食纳不佳，</w:t>
      </w:r>
      <w:r>
        <w:rPr>
          <w:rFonts w:ascii="宋体" w:hAnsi="宋体" w:hint="eastAsia"/>
          <w:sz w:val="28"/>
          <w:szCs w:val="28"/>
        </w:rPr>
        <w:t>舌淡红或暗红，苔薄白，脉弦。</w:t>
      </w:r>
    </w:p>
    <w:p w14:paraId="1DD8D62F" w14:textId="77777777" w:rsidR="00EB17B8" w:rsidRDefault="00EB17B8" w:rsidP="00EB17B8">
      <w:pPr>
        <w:pStyle w:val="af5"/>
        <w:tabs>
          <w:tab w:val="left" w:pos="567"/>
        </w:tabs>
        <w:adjustRightInd w:val="0"/>
        <w:snapToGrid w:val="0"/>
        <w:spacing w:line="360" w:lineRule="auto"/>
        <w:ind w:firstLineChars="98" w:firstLine="275"/>
        <w:rPr>
          <w:rFonts w:ascii="宋体" w:hAnsi="宋体"/>
          <w:b/>
          <w:sz w:val="28"/>
          <w:szCs w:val="28"/>
        </w:rPr>
      </w:pPr>
      <w:r w:rsidRPr="00EB17B8">
        <w:rPr>
          <w:rFonts w:ascii="宋体" w:hAnsi="宋体" w:hint="eastAsia"/>
          <w:b/>
          <w:sz w:val="28"/>
          <w:szCs w:val="28"/>
        </w:rPr>
        <w:t>（5）混合型</w:t>
      </w:r>
    </w:p>
    <w:p w14:paraId="229D9547" w14:textId="77777777" w:rsidR="00EB17B8" w:rsidRPr="00EB17B8" w:rsidRDefault="00EB17B8" w:rsidP="00EB17B8">
      <w:pPr>
        <w:pStyle w:val="af5"/>
        <w:tabs>
          <w:tab w:val="left" w:pos="567"/>
        </w:tabs>
        <w:adjustRightInd w:val="0"/>
        <w:snapToGrid w:val="0"/>
        <w:spacing w:line="360" w:lineRule="auto"/>
        <w:ind w:firstLineChars="98" w:firstLine="274"/>
        <w:rPr>
          <w:rFonts w:ascii="宋体" w:hAnsi="宋体"/>
          <w:sz w:val="28"/>
          <w:szCs w:val="28"/>
        </w:rPr>
      </w:pPr>
      <w:r w:rsidRPr="00EB17B8">
        <w:rPr>
          <w:rFonts w:ascii="宋体" w:hAnsi="宋体" w:hint="eastAsia"/>
          <w:sz w:val="28"/>
          <w:szCs w:val="28"/>
        </w:rPr>
        <w:t xml:space="preserve">  主证：主要见于骨质疏松骨折的患者，临床表现为虚实夹杂，实为气滞血瘀，虚为脾肾阳虚或肝肾阴虚，具体症候参照以上证型。</w:t>
      </w:r>
    </w:p>
    <w:p w14:paraId="12749438" w14:textId="63ECB69D" w:rsidR="00A63229" w:rsidRDefault="00D2201C" w:rsidP="00BE4F68">
      <w:pPr>
        <w:autoSpaceDE w:val="0"/>
        <w:autoSpaceDN w:val="0"/>
        <w:spacing w:line="360" w:lineRule="auto"/>
        <w:rPr>
          <w:rFonts w:ascii="宋体" w:hAnsi="宋体" w:cs="AdobeSongStd-Light,Bold"/>
          <w:b/>
          <w:bCs/>
          <w:color w:val="000000"/>
          <w:kern w:val="0"/>
          <w:sz w:val="28"/>
          <w:szCs w:val="28"/>
        </w:rPr>
      </w:pPr>
      <w:r>
        <w:rPr>
          <w:rFonts w:ascii="宋体" w:hAnsi="宋体" w:cs="AdobeSongStd-Light" w:hint="eastAsia"/>
          <w:b/>
          <w:color w:val="000000"/>
          <w:kern w:val="0"/>
          <w:sz w:val="28"/>
          <w:szCs w:val="28"/>
        </w:rPr>
        <w:t>三</w:t>
      </w:r>
      <w:r w:rsidR="00A63229">
        <w:rPr>
          <w:rFonts w:ascii="宋体" w:hAnsi="宋体" w:cs="AdobeSongStd-Light" w:hint="eastAsia"/>
          <w:b/>
          <w:color w:val="000000"/>
          <w:kern w:val="0"/>
          <w:sz w:val="28"/>
          <w:szCs w:val="28"/>
        </w:rPr>
        <w:t>、</w:t>
      </w:r>
      <w:r w:rsidR="00A63229">
        <w:rPr>
          <w:rFonts w:ascii="宋体" w:hAnsi="宋体" w:cs="AdobeSongStd-Light,Bold" w:hint="eastAsia"/>
          <w:b/>
          <w:bCs/>
          <w:color w:val="000000"/>
          <w:kern w:val="0"/>
          <w:sz w:val="28"/>
          <w:szCs w:val="28"/>
        </w:rPr>
        <w:t>治疗方案</w:t>
      </w:r>
    </w:p>
    <w:p w14:paraId="1D66F081" w14:textId="174B0EE2" w:rsidR="00A63229" w:rsidRDefault="00A63229" w:rsidP="00BE4F68">
      <w:pPr>
        <w:pStyle w:val="af5"/>
        <w:adjustRightInd w:val="0"/>
        <w:snapToGrid w:val="0"/>
        <w:spacing w:line="360" w:lineRule="auto"/>
        <w:rPr>
          <w:rFonts w:ascii="宋体" w:hAnsi="宋体"/>
          <w:b/>
          <w:sz w:val="28"/>
          <w:szCs w:val="28"/>
        </w:rPr>
      </w:pPr>
      <w:r>
        <w:rPr>
          <w:rFonts w:ascii="宋体" w:hAnsi="宋体" w:hint="eastAsia"/>
          <w:b/>
          <w:sz w:val="28"/>
          <w:szCs w:val="28"/>
        </w:rPr>
        <w:t>（一）</w:t>
      </w:r>
      <w:r w:rsidR="00E77EEC">
        <w:rPr>
          <w:rFonts w:ascii="宋体" w:hAnsi="宋体" w:hint="eastAsia"/>
          <w:b/>
          <w:sz w:val="28"/>
          <w:szCs w:val="28"/>
        </w:rPr>
        <w:t>中医</w:t>
      </w:r>
      <w:r>
        <w:rPr>
          <w:rFonts w:ascii="宋体" w:hAnsi="宋体" w:hint="eastAsia"/>
          <w:b/>
          <w:sz w:val="28"/>
          <w:szCs w:val="28"/>
        </w:rPr>
        <w:t>内治法（辨证论治）</w:t>
      </w:r>
    </w:p>
    <w:p w14:paraId="11253545" w14:textId="77777777" w:rsidR="00A63229" w:rsidRDefault="00A63229">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1、脾肾阳虚型</w:t>
      </w:r>
    </w:p>
    <w:p w14:paraId="5B795894" w14:textId="77777777" w:rsidR="00A63229" w:rsidRDefault="00A63229">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治则：温补肾阳。</w:t>
      </w:r>
    </w:p>
    <w:p w14:paraId="790F34C7" w14:textId="77777777" w:rsidR="00D2201C" w:rsidRDefault="00A63229" w:rsidP="00D2201C">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方药：</w:t>
      </w:r>
    </w:p>
    <w:p w14:paraId="0191F396" w14:textId="46B7E459" w:rsidR="00D2201C" w:rsidRDefault="00D2201C" w:rsidP="00D2201C">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（1）</w:t>
      </w:r>
      <w:r w:rsidRPr="00A65386">
        <w:rPr>
          <w:rFonts w:ascii="宋体" w:hAnsi="宋体" w:hint="eastAsia"/>
          <w:sz w:val="28"/>
          <w:szCs w:val="28"/>
        </w:rPr>
        <w:t>益肾蠲痛汤（院内方）</w:t>
      </w:r>
      <w:r w:rsidR="00BE4F68">
        <w:rPr>
          <w:rFonts w:ascii="宋体" w:hAnsi="宋体" w:hint="eastAsia"/>
          <w:sz w:val="28"/>
          <w:szCs w:val="28"/>
        </w:rPr>
        <w:t>（</w:t>
      </w:r>
      <w:r w:rsidRPr="00A65386">
        <w:rPr>
          <w:rFonts w:ascii="宋体" w:hAnsi="宋体" w:hint="eastAsia"/>
          <w:sz w:val="28"/>
          <w:szCs w:val="28"/>
        </w:rPr>
        <w:t>组成：淫羊藿20g、仙茅10 g，熟地</w:t>
      </w:r>
      <w:smartTag w:uri="urn:schemas-microsoft-com:office:smarttags" w:element="chmetcnv">
        <w:smartTagPr>
          <w:attr w:name="UnitName" w:val="g"/>
          <w:attr w:name="SourceValue" w:val="10"/>
          <w:attr w:name="HasSpace" w:val="False"/>
          <w:attr w:name="Negative" w:val="False"/>
          <w:attr w:name="NumberType" w:val="1"/>
          <w:attr w:name="TCSC" w:val="0"/>
        </w:smartTagPr>
        <w:r w:rsidRPr="00A65386">
          <w:rPr>
            <w:rFonts w:ascii="宋体" w:hAnsi="宋体" w:hint="eastAsia"/>
            <w:sz w:val="28"/>
            <w:szCs w:val="28"/>
          </w:rPr>
          <w:t>10g</w:t>
        </w:r>
      </w:smartTag>
      <w:r w:rsidRPr="00A65386">
        <w:rPr>
          <w:rFonts w:ascii="宋体" w:hAnsi="宋体" w:hint="eastAsia"/>
          <w:sz w:val="28"/>
          <w:szCs w:val="28"/>
        </w:rPr>
        <w:t>、鹿角胶10g、桑寄生</w:t>
      </w:r>
      <w:smartTag w:uri="urn:schemas-microsoft-com:office:smarttags" w:element="chmetcnv">
        <w:smartTagPr>
          <w:attr w:name="UnitName" w:val="g"/>
          <w:attr w:name="SourceValue" w:val="15"/>
          <w:attr w:name="HasSpace" w:val="False"/>
          <w:attr w:name="Negative" w:val="False"/>
          <w:attr w:name="NumberType" w:val="1"/>
          <w:attr w:name="TCSC" w:val="0"/>
        </w:smartTagPr>
        <w:r w:rsidRPr="00A65386">
          <w:rPr>
            <w:rFonts w:ascii="宋体" w:hAnsi="宋体" w:hint="eastAsia"/>
            <w:sz w:val="28"/>
            <w:szCs w:val="28"/>
          </w:rPr>
          <w:t>15g</w:t>
        </w:r>
      </w:smartTag>
      <w:r w:rsidRPr="00A65386">
        <w:rPr>
          <w:rFonts w:ascii="宋体" w:hAnsi="宋体" w:hint="eastAsia"/>
          <w:sz w:val="28"/>
          <w:szCs w:val="28"/>
        </w:rPr>
        <w:t>、杜仲</w:t>
      </w:r>
      <w:smartTag w:uri="urn:schemas-microsoft-com:office:smarttags" w:element="chmetcnv">
        <w:smartTagPr>
          <w:attr w:name="UnitName" w:val="g"/>
          <w:attr w:name="SourceValue" w:val="10"/>
          <w:attr w:name="HasSpace" w:val="False"/>
          <w:attr w:name="Negative" w:val="False"/>
          <w:attr w:name="NumberType" w:val="1"/>
          <w:attr w:name="TCSC" w:val="0"/>
        </w:smartTagPr>
        <w:r w:rsidRPr="00A65386">
          <w:rPr>
            <w:rFonts w:ascii="宋体" w:hAnsi="宋体" w:hint="eastAsia"/>
            <w:sz w:val="28"/>
            <w:szCs w:val="28"/>
          </w:rPr>
          <w:t>10g</w:t>
        </w:r>
      </w:smartTag>
      <w:r w:rsidRPr="00A65386">
        <w:rPr>
          <w:rFonts w:ascii="宋体" w:hAnsi="宋体" w:hint="eastAsia"/>
          <w:sz w:val="28"/>
          <w:szCs w:val="28"/>
        </w:rPr>
        <w:t>、怀牛膝</w:t>
      </w:r>
      <w:smartTag w:uri="urn:schemas-microsoft-com:office:smarttags" w:element="chmetcnv">
        <w:smartTagPr>
          <w:attr w:name="UnitName" w:val="g"/>
          <w:attr w:name="SourceValue" w:val="10"/>
          <w:attr w:name="HasSpace" w:val="False"/>
          <w:attr w:name="Negative" w:val="False"/>
          <w:attr w:name="NumberType" w:val="1"/>
          <w:attr w:name="TCSC" w:val="0"/>
        </w:smartTagPr>
        <w:r w:rsidRPr="00A65386">
          <w:rPr>
            <w:rFonts w:ascii="宋体" w:hAnsi="宋体" w:hint="eastAsia"/>
            <w:sz w:val="28"/>
            <w:szCs w:val="28"/>
          </w:rPr>
          <w:t>10g</w:t>
        </w:r>
      </w:smartTag>
      <w:r w:rsidRPr="00A65386">
        <w:rPr>
          <w:rFonts w:ascii="宋体" w:hAnsi="宋体" w:hint="eastAsia"/>
          <w:sz w:val="28"/>
          <w:szCs w:val="28"/>
        </w:rPr>
        <w:t>、独活</w:t>
      </w:r>
      <w:smartTag w:uri="urn:schemas-microsoft-com:office:smarttags" w:element="chmetcnv">
        <w:smartTagPr>
          <w:attr w:name="UnitName" w:val="g"/>
          <w:attr w:name="SourceValue" w:val="10"/>
          <w:attr w:name="HasSpace" w:val="False"/>
          <w:attr w:name="Negative" w:val="False"/>
          <w:attr w:name="NumberType" w:val="1"/>
          <w:attr w:name="TCSC" w:val="0"/>
        </w:smartTagPr>
        <w:r w:rsidRPr="00A65386">
          <w:rPr>
            <w:rFonts w:ascii="宋体" w:hAnsi="宋体" w:hint="eastAsia"/>
            <w:sz w:val="28"/>
            <w:szCs w:val="28"/>
          </w:rPr>
          <w:t>10g</w:t>
        </w:r>
      </w:smartTag>
      <w:r w:rsidRPr="00A65386">
        <w:rPr>
          <w:rFonts w:ascii="宋体" w:hAnsi="宋体" w:hint="eastAsia"/>
          <w:sz w:val="28"/>
          <w:szCs w:val="28"/>
        </w:rPr>
        <w:t>、赤芍</w:t>
      </w:r>
      <w:smartTag w:uri="urn:schemas-microsoft-com:office:smarttags" w:element="chmetcnv">
        <w:smartTagPr>
          <w:attr w:name="UnitName" w:val="g"/>
          <w:attr w:name="SourceValue" w:val="10"/>
          <w:attr w:name="HasSpace" w:val="False"/>
          <w:attr w:name="Negative" w:val="False"/>
          <w:attr w:name="NumberType" w:val="1"/>
          <w:attr w:name="TCSC" w:val="0"/>
        </w:smartTagPr>
        <w:r w:rsidRPr="00A65386">
          <w:rPr>
            <w:rFonts w:ascii="宋体" w:hAnsi="宋体" w:hint="eastAsia"/>
            <w:sz w:val="28"/>
            <w:szCs w:val="28"/>
          </w:rPr>
          <w:t>10g</w:t>
        </w:r>
      </w:smartTag>
      <w:r w:rsidRPr="00A65386">
        <w:rPr>
          <w:rFonts w:ascii="宋体" w:hAnsi="宋体" w:hint="eastAsia"/>
          <w:sz w:val="28"/>
          <w:szCs w:val="28"/>
        </w:rPr>
        <w:t>、制草乌3g</w:t>
      </w:r>
      <w:r w:rsidR="00BE4F68">
        <w:rPr>
          <w:rFonts w:ascii="宋体" w:hAnsi="宋体" w:hint="eastAsia"/>
          <w:sz w:val="28"/>
          <w:szCs w:val="28"/>
        </w:rPr>
        <w:t>）</w:t>
      </w:r>
    </w:p>
    <w:p w14:paraId="67FFD098" w14:textId="3800D83F" w:rsidR="00A63229" w:rsidRDefault="00A63229" w:rsidP="00D2201C">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用法：用水400毫升，煎至250毫升，</w:t>
      </w:r>
      <w:r w:rsidR="002C2730">
        <w:rPr>
          <w:rFonts w:ascii="宋体" w:hAnsi="宋体" w:hint="eastAsia"/>
          <w:sz w:val="28"/>
          <w:szCs w:val="28"/>
        </w:rPr>
        <w:t>饭后</w:t>
      </w:r>
      <w:r>
        <w:rPr>
          <w:rFonts w:ascii="宋体" w:hAnsi="宋体" w:hint="eastAsia"/>
          <w:sz w:val="28"/>
          <w:szCs w:val="28"/>
        </w:rPr>
        <w:t>温服，早晚各一剂。</w:t>
      </w:r>
    </w:p>
    <w:p w14:paraId="5BF24A62" w14:textId="573A6FF2" w:rsidR="00A63229" w:rsidRDefault="00A63229">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（2）骨康口服液（由补骨脂、淫羊藿、黄芪、丹参、骨碎补等组成）</w:t>
      </w:r>
    </w:p>
    <w:p w14:paraId="791C7268" w14:textId="77777777" w:rsidR="00A63229" w:rsidRDefault="00A63229">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用法：口服，每次10ml，每日三次。</w:t>
      </w:r>
    </w:p>
    <w:p w14:paraId="748A9F88" w14:textId="77777777" w:rsidR="00A63229" w:rsidRDefault="00A63229">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2、肝肾阴虚型</w:t>
      </w:r>
    </w:p>
    <w:p w14:paraId="0517242A" w14:textId="77777777" w:rsidR="00A63229" w:rsidRDefault="00A63229">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治则：滋补肾阴，填精益肾。</w:t>
      </w:r>
    </w:p>
    <w:p w14:paraId="63D30731" w14:textId="77777777" w:rsidR="00A63229" w:rsidRDefault="00A63229">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方药：</w:t>
      </w:r>
    </w:p>
    <w:p w14:paraId="31C7DBE3" w14:textId="5768B1C6" w:rsidR="00A63229" w:rsidRDefault="00A63229">
      <w:pPr>
        <w:pStyle w:val="af5"/>
        <w:adjustRightInd w:val="0"/>
        <w:snapToGrid w:val="0"/>
        <w:spacing w:line="360" w:lineRule="auto"/>
        <w:ind w:firstLineChars="100" w:firstLine="280"/>
        <w:rPr>
          <w:rFonts w:ascii="宋体" w:hAnsi="宋体"/>
          <w:sz w:val="28"/>
          <w:szCs w:val="28"/>
        </w:rPr>
      </w:pPr>
      <w:r>
        <w:rPr>
          <w:rFonts w:ascii="宋体" w:hAnsi="宋体" w:hint="eastAsia"/>
          <w:sz w:val="28"/>
          <w:szCs w:val="28"/>
        </w:rPr>
        <w:t>（1）左归丸（由</w:t>
      </w:r>
      <w:r w:rsidR="00000000">
        <w:fldChar w:fldCharType="begin"/>
      </w:r>
      <w:r w:rsidR="00000000">
        <w:instrText>HYPERLINK "http://baike.baidu.com/view/66884.htm" \t "_blank"</w:instrText>
      </w:r>
      <w:r w:rsidR="00000000">
        <w:fldChar w:fldCharType="separate"/>
      </w:r>
      <w:r>
        <w:rPr>
          <w:rFonts w:ascii="宋体" w:hAnsi="宋体"/>
          <w:sz w:val="28"/>
          <w:szCs w:val="28"/>
        </w:rPr>
        <w:t>熟地</w:t>
      </w:r>
      <w:r w:rsidR="00000000">
        <w:rPr>
          <w:rFonts w:ascii="宋体" w:hAnsi="宋体"/>
          <w:sz w:val="28"/>
          <w:szCs w:val="28"/>
        </w:rPr>
        <w:fldChar w:fldCharType="end"/>
      </w:r>
      <w:r>
        <w:rPr>
          <w:rFonts w:ascii="宋体" w:hAnsi="宋体" w:hint="eastAsia"/>
          <w:sz w:val="28"/>
          <w:szCs w:val="28"/>
        </w:rPr>
        <w:t>、</w:t>
      </w:r>
      <w:r>
        <w:rPr>
          <w:rFonts w:ascii="宋体" w:hAnsi="宋体"/>
          <w:sz w:val="28"/>
          <w:szCs w:val="28"/>
        </w:rPr>
        <w:t xml:space="preserve"> </w:t>
      </w:r>
      <w:hyperlink r:id="rId8" w:tgtFrame="_blank" w:history="1">
        <w:r>
          <w:rPr>
            <w:rFonts w:ascii="宋体" w:hAnsi="宋体"/>
            <w:sz w:val="28"/>
            <w:szCs w:val="28"/>
          </w:rPr>
          <w:t>山药</w:t>
        </w:r>
      </w:hyperlink>
      <w:r>
        <w:rPr>
          <w:rFonts w:ascii="宋体" w:hAnsi="宋体" w:hint="eastAsia"/>
          <w:sz w:val="28"/>
          <w:szCs w:val="28"/>
        </w:rPr>
        <w:t>、</w:t>
      </w:r>
      <w:r>
        <w:rPr>
          <w:rFonts w:ascii="宋体" w:hAnsi="宋体"/>
          <w:sz w:val="28"/>
          <w:szCs w:val="28"/>
        </w:rPr>
        <w:t>枸杞</w:t>
      </w:r>
      <w:r>
        <w:rPr>
          <w:rFonts w:ascii="宋体" w:hAnsi="宋体" w:hint="eastAsia"/>
          <w:sz w:val="28"/>
          <w:szCs w:val="28"/>
        </w:rPr>
        <w:t>、</w:t>
      </w:r>
      <w:hyperlink r:id="rId9" w:tgtFrame="_blank" w:history="1">
        <w:r>
          <w:rPr>
            <w:rFonts w:ascii="宋体" w:hAnsi="宋体"/>
            <w:sz w:val="28"/>
            <w:szCs w:val="28"/>
          </w:rPr>
          <w:t>山茱萸</w:t>
        </w:r>
      </w:hyperlink>
      <w:r>
        <w:rPr>
          <w:rFonts w:ascii="宋体" w:hAnsi="宋体" w:hint="eastAsia"/>
          <w:sz w:val="28"/>
          <w:szCs w:val="28"/>
        </w:rPr>
        <w:t>、</w:t>
      </w:r>
      <w:r>
        <w:rPr>
          <w:rFonts w:ascii="宋体" w:hAnsi="宋体"/>
          <w:sz w:val="28"/>
          <w:szCs w:val="28"/>
        </w:rPr>
        <w:t>牛膝</w:t>
      </w:r>
      <w:r>
        <w:rPr>
          <w:rFonts w:ascii="宋体" w:hAnsi="宋体" w:hint="eastAsia"/>
          <w:sz w:val="28"/>
          <w:szCs w:val="28"/>
        </w:rPr>
        <w:t>、</w:t>
      </w:r>
      <w:hyperlink r:id="rId10" w:tgtFrame="_blank" w:history="1">
        <w:r>
          <w:rPr>
            <w:rFonts w:ascii="宋体" w:hAnsi="宋体"/>
            <w:sz w:val="28"/>
            <w:szCs w:val="28"/>
          </w:rPr>
          <w:t>鹿角</w:t>
        </w:r>
        <w:r>
          <w:rPr>
            <w:rFonts w:ascii="宋体" w:hAnsi="宋体"/>
            <w:sz w:val="28"/>
            <w:szCs w:val="28"/>
          </w:rPr>
          <w:lastRenderedPageBreak/>
          <w:t>胶</w:t>
        </w:r>
      </w:hyperlink>
      <w:r>
        <w:rPr>
          <w:rFonts w:ascii="宋体" w:hAnsi="宋体" w:hint="eastAsia"/>
          <w:sz w:val="28"/>
          <w:szCs w:val="28"/>
        </w:rPr>
        <w:t>、</w:t>
      </w:r>
      <w:r>
        <w:rPr>
          <w:rFonts w:ascii="宋体" w:hAnsi="宋体"/>
          <w:sz w:val="28"/>
          <w:szCs w:val="28"/>
        </w:rPr>
        <w:t>龟板胶</w:t>
      </w:r>
      <w:r>
        <w:rPr>
          <w:rFonts w:ascii="宋体" w:hAnsi="宋体" w:hint="eastAsia"/>
          <w:sz w:val="28"/>
          <w:szCs w:val="28"/>
        </w:rPr>
        <w:t>、</w:t>
      </w:r>
      <w:r>
        <w:rPr>
          <w:rFonts w:ascii="宋体" w:hAnsi="宋体"/>
          <w:sz w:val="28"/>
          <w:szCs w:val="28"/>
        </w:rPr>
        <w:t>菟丝子</w:t>
      </w:r>
      <w:r>
        <w:rPr>
          <w:rFonts w:ascii="宋体" w:hAnsi="宋体" w:hint="eastAsia"/>
          <w:sz w:val="28"/>
          <w:szCs w:val="28"/>
        </w:rPr>
        <w:t>等组成）</w:t>
      </w:r>
    </w:p>
    <w:p w14:paraId="5B4B5B52" w14:textId="77777777" w:rsidR="00A63229" w:rsidRDefault="00A63229">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用法：每次9丸，每日3次，温水送服。</w:t>
      </w:r>
    </w:p>
    <w:p w14:paraId="74FB3A0B" w14:textId="17BFFCC2" w:rsidR="00A63229" w:rsidRDefault="00A63229">
      <w:pPr>
        <w:pStyle w:val="af5"/>
        <w:adjustRightInd w:val="0"/>
        <w:snapToGrid w:val="0"/>
        <w:spacing w:line="360" w:lineRule="auto"/>
        <w:ind w:firstLineChars="100" w:firstLine="280"/>
        <w:rPr>
          <w:rFonts w:ascii="宋体" w:hAnsi="宋体"/>
          <w:sz w:val="28"/>
          <w:szCs w:val="28"/>
        </w:rPr>
      </w:pPr>
      <w:r>
        <w:rPr>
          <w:rFonts w:ascii="宋体" w:hAnsi="宋体" w:hint="eastAsia"/>
          <w:sz w:val="28"/>
          <w:szCs w:val="28"/>
        </w:rPr>
        <w:t>（2）六味地黄丸（由</w:t>
      </w:r>
      <w:r w:rsidR="00000000">
        <w:fldChar w:fldCharType="begin"/>
      </w:r>
      <w:r w:rsidR="00000000">
        <w:instrText>HYPERLINK "http://baike.baidu.com/view/66884.htm" \t "_blank"</w:instrText>
      </w:r>
      <w:r w:rsidR="00000000">
        <w:fldChar w:fldCharType="separate"/>
      </w:r>
      <w:r>
        <w:rPr>
          <w:rFonts w:ascii="宋体" w:hAnsi="宋体"/>
          <w:sz w:val="28"/>
          <w:szCs w:val="28"/>
        </w:rPr>
        <w:t>熟地</w:t>
      </w:r>
      <w:r w:rsidR="00000000">
        <w:rPr>
          <w:rFonts w:ascii="宋体" w:hAnsi="宋体"/>
          <w:sz w:val="28"/>
          <w:szCs w:val="28"/>
        </w:rPr>
        <w:fldChar w:fldCharType="end"/>
      </w:r>
      <w:r>
        <w:rPr>
          <w:rFonts w:ascii="宋体" w:hAnsi="宋体" w:hint="eastAsia"/>
          <w:sz w:val="28"/>
          <w:szCs w:val="28"/>
        </w:rPr>
        <w:t>黄，山茱萸（制），牡丹皮，山药 ，泽泻、茯苓组成）</w:t>
      </w:r>
    </w:p>
    <w:p w14:paraId="64EEAF5B" w14:textId="77777777" w:rsidR="00A63229" w:rsidRDefault="00A63229">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用法：口服。蜜丸一次16丸，一日2次。</w:t>
      </w:r>
    </w:p>
    <w:p w14:paraId="33CA1D89" w14:textId="77777777" w:rsidR="00A63229" w:rsidRDefault="00A63229">
      <w:pPr>
        <w:pStyle w:val="af5"/>
        <w:adjustRightInd w:val="0"/>
        <w:snapToGrid w:val="0"/>
        <w:spacing w:line="360" w:lineRule="auto"/>
        <w:ind w:firstLineChars="100" w:firstLine="280"/>
        <w:rPr>
          <w:rFonts w:ascii="宋体" w:hAnsi="宋体"/>
          <w:sz w:val="28"/>
          <w:szCs w:val="28"/>
        </w:rPr>
      </w:pPr>
      <w:r>
        <w:rPr>
          <w:rFonts w:ascii="宋体" w:hAnsi="宋体" w:hint="eastAsia"/>
          <w:sz w:val="28"/>
          <w:szCs w:val="28"/>
        </w:rPr>
        <w:t>3、气滞血瘀型</w:t>
      </w:r>
    </w:p>
    <w:p w14:paraId="6BDBE4B0" w14:textId="77777777" w:rsidR="00A63229" w:rsidRDefault="00A63229">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治则：行气活血，通络止痛。</w:t>
      </w:r>
    </w:p>
    <w:p w14:paraId="705E4011" w14:textId="04E977CC" w:rsidR="00A63229" w:rsidRDefault="00A63229" w:rsidP="002C2730">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方药：</w:t>
      </w:r>
      <w:r w:rsidR="002C2730" w:rsidRPr="00A65386">
        <w:rPr>
          <w:rFonts w:ascii="宋体" w:hAnsi="宋体" w:hint="eastAsia"/>
          <w:sz w:val="28"/>
          <w:szCs w:val="28"/>
        </w:rPr>
        <w:t>身痛逐瘀汤。组成：秦艽、川芎、桃仁、红花、甘草、羌活、没药、当归、五灵脂、香附、牛膝 、地龙。</w:t>
      </w:r>
    </w:p>
    <w:p w14:paraId="6918F9A9" w14:textId="10B9F218" w:rsidR="002C2730" w:rsidRDefault="002C2730" w:rsidP="002C2730">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用法：用水400毫升，煎至250毫升，</w:t>
      </w:r>
      <w:r>
        <w:rPr>
          <w:rFonts w:ascii="宋体" w:hAnsi="宋体" w:hint="eastAsia"/>
          <w:sz w:val="28"/>
          <w:szCs w:val="28"/>
        </w:rPr>
        <w:t>饭后</w:t>
      </w:r>
      <w:r>
        <w:rPr>
          <w:rFonts w:ascii="宋体" w:hAnsi="宋体" w:hint="eastAsia"/>
          <w:sz w:val="28"/>
          <w:szCs w:val="28"/>
        </w:rPr>
        <w:t>温服，早晚各一剂。</w:t>
      </w:r>
    </w:p>
    <w:p w14:paraId="12C6D69D" w14:textId="77777777" w:rsidR="00EB17B8" w:rsidRDefault="00EB17B8" w:rsidP="00EB17B8">
      <w:pPr>
        <w:pStyle w:val="af5"/>
        <w:tabs>
          <w:tab w:val="left" w:pos="426"/>
        </w:tabs>
        <w:adjustRightInd w:val="0"/>
        <w:snapToGrid w:val="0"/>
        <w:spacing w:line="360" w:lineRule="auto"/>
        <w:rPr>
          <w:rFonts w:ascii="宋体" w:hAnsi="宋体"/>
          <w:sz w:val="28"/>
          <w:szCs w:val="28"/>
        </w:rPr>
      </w:pPr>
      <w:r>
        <w:rPr>
          <w:rFonts w:ascii="宋体" w:hAnsi="宋体" w:hint="eastAsia"/>
          <w:sz w:val="28"/>
          <w:szCs w:val="28"/>
        </w:rPr>
        <w:t xml:space="preserve">  4</w:t>
      </w:r>
      <w:r w:rsidR="006546CD">
        <w:rPr>
          <w:rFonts w:ascii="宋体" w:hAnsi="宋体" w:hint="eastAsia"/>
          <w:sz w:val="28"/>
          <w:szCs w:val="28"/>
        </w:rPr>
        <w:t>、</w:t>
      </w:r>
      <w:r>
        <w:rPr>
          <w:rFonts w:ascii="宋体" w:hAnsi="宋体" w:hint="eastAsia"/>
          <w:sz w:val="28"/>
          <w:szCs w:val="28"/>
        </w:rPr>
        <w:t>气滞血瘀型（骨折）</w:t>
      </w:r>
    </w:p>
    <w:p w14:paraId="712407A5" w14:textId="77777777" w:rsidR="006546CD" w:rsidRDefault="006546CD" w:rsidP="006546CD">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治则：活血化瘀，行气止痛。</w:t>
      </w:r>
    </w:p>
    <w:p w14:paraId="0E463124" w14:textId="77777777" w:rsidR="006546CD" w:rsidRDefault="006546CD" w:rsidP="006546CD">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方药：</w:t>
      </w:r>
    </w:p>
    <w:p w14:paraId="35D7F0A5" w14:textId="77777777" w:rsidR="006546CD" w:rsidRDefault="006546CD" w:rsidP="006546CD">
      <w:pPr>
        <w:pStyle w:val="af5"/>
        <w:adjustRightInd w:val="0"/>
        <w:snapToGrid w:val="0"/>
        <w:spacing w:line="360" w:lineRule="auto"/>
        <w:ind w:firstLineChars="100" w:firstLine="280"/>
        <w:rPr>
          <w:rFonts w:ascii="宋体" w:hAnsi="宋体"/>
          <w:sz w:val="28"/>
          <w:szCs w:val="28"/>
        </w:rPr>
      </w:pPr>
      <w:r>
        <w:rPr>
          <w:rFonts w:ascii="宋体" w:hAnsi="宋体" w:hint="eastAsia"/>
          <w:sz w:val="28"/>
          <w:szCs w:val="28"/>
        </w:rPr>
        <w:t>（1）桃红四物汤加减（桃仁、红花、当归、赤芍、生地、川芎、柴胡、香附、大黄）。</w:t>
      </w:r>
    </w:p>
    <w:p w14:paraId="3837B71E" w14:textId="2C208003" w:rsidR="006546CD" w:rsidRDefault="006546CD" w:rsidP="006546CD">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用法：用水400毫升，煎至250毫升，</w:t>
      </w:r>
      <w:r w:rsidR="002C2730">
        <w:rPr>
          <w:rFonts w:ascii="宋体" w:hAnsi="宋体" w:hint="eastAsia"/>
          <w:sz w:val="28"/>
          <w:szCs w:val="28"/>
        </w:rPr>
        <w:t>饭后</w:t>
      </w:r>
      <w:r>
        <w:rPr>
          <w:rFonts w:ascii="宋体" w:hAnsi="宋体" w:hint="eastAsia"/>
          <w:sz w:val="28"/>
          <w:szCs w:val="28"/>
        </w:rPr>
        <w:t>温服，早晚各一剂。</w:t>
      </w:r>
    </w:p>
    <w:p w14:paraId="4C78D72F" w14:textId="77777777" w:rsidR="006546CD" w:rsidRDefault="006546CD" w:rsidP="006546CD">
      <w:pPr>
        <w:pStyle w:val="af5"/>
        <w:adjustRightInd w:val="0"/>
        <w:snapToGrid w:val="0"/>
        <w:spacing w:line="360" w:lineRule="auto"/>
        <w:ind w:firstLineChars="100" w:firstLine="280"/>
        <w:rPr>
          <w:rFonts w:ascii="宋体" w:hAnsi="宋体"/>
          <w:sz w:val="28"/>
          <w:szCs w:val="28"/>
        </w:rPr>
      </w:pPr>
      <w:r>
        <w:rPr>
          <w:rFonts w:ascii="宋体" w:hAnsi="宋体" w:hint="eastAsia"/>
          <w:sz w:val="28"/>
          <w:szCs w:val="28"/>
        </w:rPr>
        <w:t>（2）复元活血汤（柴胡、瓜蒌根、当归、红花、甘草、穿山甲、大黄、桃仁）</w:t>
      </w:r>
    </w:p>
    <w:p w14:paraId="52E40562" w14:textId="62E2AC87" w:rsidR="006546CD" w:rsidRDefault="006546CD" w:rsidP="006546CD">
      <w:pPr>
        <w:pStyle w:val="af5"/>
        <w:adjustRightInd w:val="0"/>
        <w:snapToGrid w:val="0"/>
        <w:spacing w:line="360" w:lineRule="auto"/>
        <w:ind w:firstLineChars="200" w:firstLine="560"/>
        <w:rPr>
          <w:rFonts w:ascii="宋体" w:hAnsi="宋体"/>
          <w:sz w:val="28"/>
          <w:szCs w:val="28"/>
        </w:rPr>
      </w:pPr>
      <w:r>
        <w:rPr>
          <w:rFonts w:ascii="宋体" w:hAnsi="宋体" w:hint="eastAsia"/>
          <w:sz w:val="28"/>
          <w:szCs w:val="28"/>
        </w:rPr>
        <w:t>用法：用水400毫升，煎至250毫升，</w:t>
      </w:r>
      <w:r w:rsidR="002C2730">
        <w:rPr>
          <w:rFonts w:ascii="宋体" w:hAnsi="宋体" w:hint="eastAsia"/>
          <w:sz w:val="28"/>
          <w:szCs w:val="28"/>
        </w:rPr>
        <w:t>饭后</w:t>
      </w:r>
      <w:r>
        <w:rPr>
          <w:rFonts w:ascii="宋体" w:hAnsi="宋体" w:hint="eastAsia"/>
          <w:sz w:val="28"/>
          <w:szCs w:val="28"/>
        </w:rPr>
        <w:t>温服，早晚各一剂。</w:t>
      </w:r>
    </w:p>
    <w:p w14:paraId="32726F9F" w14:textId="7F524763" w:rsidR="006546CD" w:rsidRPr="006546CD" w:rsidRDefault="006546CD" w:rsidP="00EB17B8">
      <w:pPr>
        <w:pStyle w:val="af5"/>
        <w:tabs>
          <w:tab w:val="left" w:pos="426"/>
        </w:tabs>
        <w:adjustRightInd w:val="0"/>
        <w:snapToGrid w:val="0"/>
        <w:spacing w:line="360" w:lineRule="auto"/>
        <w:rPr>
          <w:rFonts w:ascii="宋体" w:hAnsi="宋体" w:hint="eastAsia"/>
          <w:sz w:val="28"/>
          <w:szCs w:val="28"/>
        </w:rPr>
      </w:pPr>
      <w:r>
        <w:rPr>
          <w:rFonts w:ascii="宋体" w:hAnsi="宋体" w:hint="eastAsia"/>
          <w:sz w:val="28"/>
          <w:szCs w:val="28"/>
        </w:rPr>
        <w:t xml:space="preserve">   5、混合型：根据患者疾病不同时期虚实情况进行辨证治疗，</w:t>
      </w:r>
      <w:r>
        <w:rPr>
          <w:rFonts w:ascii="宋体" w:hAnsi="宋体" w:hint="eastAsia"/>
          <w:sz w:val="28"/>
          <w:szCs w:val="28"/>
        </w:rPr>
        <w:lastRenderedPageBreak/>
        <w:t>具体治则方药可参照上述各型。</w:t>
      </w:r>
    </w:p>
    <w:p w14:paraId="6B30E9F8" w14:textId="7F0D8115" w:rsidR="00A63229" w:rsidRDefault="00A63229">
      <w:pPr>
        <w:pStyle w:val="af5"/>
        <w:adjustRightInd w:val="0"/>
        <w:snapToGrid w:val="0"/>
        <w:spacing w:line="360" w:lineRule="auto"/>
        <w:rPr>
          <w:rFonts w:ascii="宋体" w:hAnsi="宋体"/>
          <w:b/>
          <w:color w:val="000000"/>
          <w:sz w:val="28"/>
          <w:szCs w:val="28"/>
        </w:rPr>
      </w:pPr>
      <w:r>
        <w:rPr>
          <w:rFonts w:ascii="宋体" w:hAnsi="宋体" w:hint="eastAsia"/>
          <w:b/>
          <w:color w:val="000000"/>
          <w:sz w:val="28"/>
          <w:szCs w:val="28"/>
        </w:rPr>
        <w:t>（二）</w:t>
      </w:r>
      <w:r w:rsidR="00E77EEC">
        <w:rPr>
          <w:rFonts w:ascii="宋体" w:hAnsi="宋体" w:hint="eastAsia"/>
          <w:b/>
          <w:color w:val="000000"/>
          <w:sz w:val="28"/>
          <w:szCs w:val="28"/>
        </w:rPr>
        <w:t>中医</w:t>
      </w:r>
      <w:r>
        <w:rPr>
          <w:rFonts w:ascii="宋体" w:hAnsi="宋体" w:hint="eastAsia"/>
          <w:b/>
          <w:color w:val="000000"/>
          <w:sz w:val="28"/>
          <w:szCs w:val="28"/>
        </w:rPr>
        <w:t>外治法</w:t>
      </w:r>
    </w:p>
    <w:p w14:paraId="4E8CCCAC" w14:textId="3EAC9234" w:rsidR="00A63229" w:rsidRDefault="00A63229">
      <w:pPr>
        <w:spacing w:line="360" w:lineRule="auto"/>
        <w:ind w:firstLineChars="200" w:firstLine="560"/>
        <w:rPr>
          <w:rFonts w:ascii="宋体" w:hAnsi="宋体"/>
          <w:color w:val="000000"/>
          <w:sz w:val="28"/>
          <w:szCs w:val="28"/>
        </w:rPr>
      </w:pPr>
      <w:r>
        <w:rPr>
          <w:rFonts w:ascii="宋体" w:hAnsi="宋体" w:hint="eastAsia"/>
          <w:color w:val="000000"/>
          <w:sz w:val="28"/>
          <w:szCs w:val="28"/>
        </w:rPr>
        <w:t>1、外用中成药：腰背部或其他疼痛部位给予外敷</w:t>
      </w:r>
      <w:r w:rsidR="002C2730">
        <w:rPr>
          <w:rFonts w:ascii="宋体" w:hAnsi="宋体" w:hint="eastAsia"/>
          <w:color w:val="000000"/>
          <w:sz w:val="28"/>
          <w:szCs w:val="28"/>
        </w:rPr>
        <w:t>治伤散巴布剂</w:t>
      </w:r>
      <w:r w:rsidR="000F047D">
        <w:rPr>
          <w:rFonts w:ascii="宋体" w:hAnsi="宋体" w:hint="eastAsia"/>
          <w:color w:val="000000"/>
          <w:sz w:val="28"/>
          <w:szCs w:val="28"/>
        </w:rPr>
        <w:t>（</w:t>
      </w:r>
      <w:r w:rsidR="000F047D">
        <w:rPr>
          <w:rFonts w:ascii="宋体" w:hAnsi="宋体" w:hint="eastAsia"/>
          <w:color w:val="000000"/>
          <w:sz w:val="28"/>
          <w:szCs w:val="28"/>
        </w:rPr>
        <w:t>院内制剂</w:t>
      </w:r>
      <w:r w:rsidR="000F047D">
        <w:rPr>
          <w:rFonts w:ascii="宋体" w:hAnsi="宋体" w:hint="eastAsia"/>
          <w:color w:val="000000"/>
          <w:sz w:val="28"/>
          <w:szCs w:val="28"/>
        </w:rPr>
        <w:t>）</w:t>
      </w:r>
      <w:r>
        <w:rPr>
          <w:rFonts w:ascii="宋体" w:hAnsi="宋体" w:hint="eastAsia"/>
          <w:color w:val="000000"/>
          <w:sz w:val="28"/>
          <w:szCs w:val="28"/>
        </w:rPr>
        <w:t>。</w:t>
      </w:r>
    </w:p>
    <w:p w14:paraId="0A94CCD0" w14:textId="12455C40" w:rsidR="00A63229" w:rsidRDefault="00A63229">
      <w:pPr>
        <w:spacing w:line="360" w:lineRule="auto"/>
        <w:ind w:firstLineChars="200" w:firstLine="560"/>
        <w:rPr>
          <w:rFonts w:ascii="宋体" w:hAnsi="宋体"/>
          <w:sz w:val="28"/>
          <w:szCs w:val="28"/>
        </w:rPr>
      </w:pPr>
      <w:r>
        <w:rPr>
          <w:rFonts w:ascii="宋体" w:hAnsi="宋体" w:hint="eastAsia"/>
          <w:color w:val="000000"/>
          <w:sz w:val="28"/>
          <w:szCs w:val="28"/>
        </w:rPr>
        <w:t>2、中药外用熏洗（协定处方</w:t>
      </w:r>
      <w:r w:rsidR="000F047D">
        <w:rPr>
          <w:rFonts w:ascii="宋体" w:hAnsi="宋体" w:hint="eastAsia"/>
          <w:color w:val="000000"/>
          <w:sz w:val="28"/>
          <w:szCs w:val="28"/>
        </w:rPr>
        <w:t>，</w:t>
      </w:r>
      <w:r>
        <w:rPr>
          <w:rFonts w:ascii="宋体" w:hAnsi="宋体" w:hint="eastAsia"/>
          <w:color w:val="000000"/>
          <w:sz w:val="28"/>
          <w:szCs w:val="28"/>
        </w:rPr>
        <w:t>组成：防风</w:t>
      </w:r>
      <w:smartTag w:uri="urn:schemas-microsoft-com:office:smarttags" w:element="chmetcnv">
        <w:smartTagPr>
          <w:attr w:name="TCSC" w:val="0"/>
          <w:attr w:name="NumberType" w:val="1"/>
          <w:attr w:name="Negative" w:val="False"/>
          <w:attr w:name="HasSpace" w:val="True"/>
          <w:attr w:name="SourceValue" w:val="15"/>
          <w:attr w:name="UnitName" w:val="g"/>
        </w:smartTagPr>
        <w:r>
          <w:rPr>
            <w:rFonts w:ascii="宋体" w:hAnsi="宋体" w:hint="eastAsia"/>
            <w:color w:val="000000"/>
            <w:sz w:val="28"/>
            <w:szCs w:val="28"/>
          </w:rPr>
          <w:t>15 g</w:t>
        </w:r>
      </w:smartTag>
      <w:r>
        <w:rPr>
          <w:rFonts w:ascii="宋体" w:hAnsi="宋体" w:hint="eastAsia"/>
          <w:color w:val="000000"/>
          <w:sz w:val="28"/>
          <w:szCs w:val="28"/>
        </w:rPr>
        <w:t>、艾叶</w:t>
      </w:r>
      <w:smartTag w:uri="urn:schemas-microsoft-com:office:smarttags" w:element="chmetcnv">
        <w:smartTagPr>
          <w:attr w:name="TCSC" w:val="0"/>
          <w:attr w:name="NumberType" w:val="1"/>
          <w:attr w:name="Negative" w:val="False"/>
          <w:attr w:name="HasSpace" w:val="True"/>
          <w:attr w:name="SourceValue" w:val="15"/>
          <w:attr w:name="UnitName" w:val="g"/>
        </w:smartTagPr>
        <w:r>
          <w:rPr>
            <w:rFonts w:ascii="宋体" w:hAnsi="宋体" w:hint="eastAsia"/>
            <w:color w:val="000000"/>
            <w:sz w:val="28"/>
            <w:szCs w:val="28"/>
          </w:rPr>
          <w:t>15 g</w:t>
        </w:r>
      </w:smartTag>
      <w:r>
        <w:rPr>
          <w:rFonts w:ascii="宋体" w:hAnsi="宋体" w:hint="eastAsia"/>
          <w:color w:val="000000"/>
          <w:sz w:val="28"/>
          <w:szCs w:val="28"/>
        </w:rPr>
        <w:t>、蒲公英</w:t>
      </w:r>
      <w:smartTag w:uri="urn:schemas-microsoft-com:office:smarttags" w:element="chmetcnv">
        <w:smartTagPr>
          <w:attr w:name="TCSC" w:val="0"/>
          <w:attr w:name="NumberType" w:val="1"/>
          <w:attr w:name="Negative" w:val="False"/>
          <w:attr w:name="HasSpace" w:val="True"/>
          <w:attr w:name="SourceValue" w:val="25"/>
          <w:attr w:name="UnitName" w:val="g"/>
        </w:smartTagPr>
        <w:r>
          <w:rPr>
            <w:rFonts w:ascii="宋体" w:hAnsi="宋体" w:hint="eastAsia"/>
            <w:color w:val="000000"/>
            <w:sz w:val="28"/>
            <w:szCs w:val="28"/>
          </w:rPr>
          <w:t>25 g</w:t>
        </w:r>
      </w:smartTag>
      <w:r>
        <w:rPr>
          <w:rFonts w:ascii="宋体" w:hAnsi="宋体" w:hint="eastAsia"/>
          <w:color w:val="000000"/>
          <w:sz w:val="28"/>
          <w:szCs w:val="28"/>
        </w:rPr>
        <w:t>、紫花地丁</w:t>
      </w:r>
      <w:smartTag w:uri="urn:schemas-microsoft-com:office:smarttags" w:element="chmetcnv">
        <w:smartTagPr>
          <w:attr w:name="TCSC" w:val="0"/>
          <w:attr w:name="NumberType" w:val="1"/>
          <w:attr w:name="Negative" w:val="False"/>
          <w:attr w:name="HasSpace" w:val="True"/>
          <w:attr w:name="SourceValue" w:val="20"/>
          <w:attr w:name="UnitName" w:val="g"/>
        </w:smartTagPr>
        <w:r>
          <w:rPr>
            <w:rFonts w:ascii="宋体" w:hAnsi="宋体" w:hint="eastAsia"/>
            <w:color w:val="000000"/>
            <w:sz w:val="28"/>
            <w:szCs w:val="28"/>
          </w:rPr>
          <w:t>20 g</w:t>
        </w:r>
      </w:smartTag>
      <w:r>
        <w:rPr>
          <w:rFonts w:ascii="宋体" w:hAnsi="宋体" w:hint="eastAsia"/>
          <w:color w:val="000000"/>
          <w:sz w:val="28"/>
          <w:szCs w:val="28"/>
        </w:rPr>
        <w:t>、伸筋草</w:t>
      </w:r>
      <w:smartTag w:uri="urn:schemas-microsoft-com:office:smarttags" w:element="chmetcnv">
        <w:smartTagPr>
          <w:attr w:name="TCSC" w:val="0"/>
          <w:attr w:name="NumberType" w:val="1"/>
          <w:attr w:name="Negative" w:val="False"/>
          <w:attr w:name="HasSpace" w:val="True"/>
          <w:attr w:name="SourceValue" w:val="20"/>
          <w:attr w:name="UnitName" w:val="g"/>
        </w:smartTagPr>
        <w:r>
          <w:rPr>
            <w:rFonts w:ascii="宋体" w:hAnsi="宋体" w:hint="eastAsia"/>
            <w:color w:val="000000"/>
            <w:sz w:val="28"/>
            <w:szCs w:val="28"/>
          </w:rPr>
          <w:t>20 g</w:t>
        </w:r>
      </w:smartTag>
      <w:r>
        <w:rPr>
          <w:rFonts w:ascii="宋体" w:hAnsi="宋体" w:hint="eastAsia"/>
          <w:color w:val="000000"/>
          <w:sz w:val="28"/>
          <w:szCs w:val="28"/>
        </w:rPr>
        <w:t>、川牛膝</w:t>
      </w:r>
      <w:smartTag w:uri="urn:schemas-microsoft-com:office:smarttags" w:element="chmetcnv">
        <w:smartTagPr>
          <w:attr w:name="TCSC" w:val="0"/>
          <w:attr w:name="NumberType" w:val="1"/>
          <w:attr w:name="Negative" w:val="False"/>
          <w:attr w:name="HasSpace" w:val="True"/>
          <w:attr w:name="SourceValue" w:val="15"/>
          <w:attr w:name="UnitName" w:val="g"/>
        </w:smartTagPr>
        <w:r>
          <w:rPr>
            <w:rFonts w:ascii="宋体" w:hAnsi="宋体" w:hint="eastAsia"/>
            <w:sz w:val="28"/>
            <w:szCs w:val="28"/>
          </w:rPr>
          <w:t>15 g</w:t>
        </w:r>
      </w:smartTag>
      <w:r>
        <w:rPr>
          <w:rFonts w:ascii="宋体" w:hAnsi="宋体" w:hint="eastAsia"/>
          <w:sz w:val="28"/>
          <w:szCs w:val="28"/>
        </w:rPr>
        <w:t>等），代煎、外用熏洗、日2次。</w:t>
      </w:r>
    </w:p>
    <w:p w14:paraId="0981F160" w14:textId="004DCB26" w:rsidR="00A63229" w:rsidRDefault="00A63229">
      <w:pPr>
        <w:spacing w:line="360" w:lineRule="auto"/>
        <w:ind w:firstLineChars="200" w:firstLine="560"/>
        <w:rPr>
          <w:rFonts w:ascii="宋体" w:hAnsi="宋体"/>
          <w:sz w:val="28"/>
          <w:szCs w:val="28"/>
        </w:rPr>
      </w:pPr>
      <w:r>
        <w:rPr>
          <w:rFonts w:ascii="宋体" w:hAnsi="宋体" w:hint="eastAsia"/>
          <w:sz w:val="28"/>
          <w:szCs w:val="28"/>
        </w:rPr>
        <w:t>3、中药超声药物导入治疗</w:t>
      </w:r>
    </w:p>
    <w:p w14:paraId="5915B0FD" w14:textId="76EB3DFB" w:rsidR="00A63229" w:rsidRDefault="00E77EEC">
      <w:pPr>
        <w:spacing w:line="360" w:lineRule="auto"/>
        <w:rPr>
          <w:rFonts w:ascii="宋体" w:hAnsi="宋体" w:hint="eastAsia"/>
          <w:sz w:val="28"/>
          <w:szCs w:val="28"/>
        </w:rPr>
      </w:pPr>
      <w:r>
        <w:rPr>
          <w:rFonts w:ascii="宋体" w:hAnsi="宋体" w:hint="eastAsia"/>
          <w:sz w:val="28"/>
          <w:szCs w:val="28"/>
        </w:rPr>
        <w:t>（三）</w:t>
      </w:r>
      <w:r w:rsidR="008548C6">
        <w:rPr>
          <w:rFonts w:ascii="宋体" w:hAnsi="宋体" w:hint="eastAsia"/>
          <w:b/>
          <w:color w:val="000000"/>
          <w:sz w:val="28"/>
          <w:szCs w:val="28"/>
        </w:rPr>
        <w:t>物理</w:t>
      </w:r>
      <w:r w:rsidR="008548C6">
        <w:rPr>
          <w:rFonts w:ascii="宋体" w:hAnsi="宋体" w:hint="eastAsia"/>
          <w:b/>
          <w:color w:val="000000"/>
          <w:sz w:val="28"/>
          <w:szCs w:val="28"/>
        </w:rPr>
        <w:t>治疗</w:t>
      </w:r>
    </w:p>
    <w:p w14:paraId="3033ADD5" w14:textId="39B5CC02" w:rsidR="00A63229" w:rsidRDefault="00A63229">
      <w:pPr>
        <w:pStyle w:val="af5"/>
        <w:adjustRightInd w:val="0"/>
        <w:snapToGrid w:val="0"/>
        <w:spacing w:line="360" w:lineRule="auto"/>
        <w:ind w:firstLineChars="200" w:firstLine="560"/>
        <w:rPr>
          <w:rFonts w:ascii="宋体" w:hAnsi="宋体" w:cs="宋体"/>
          <w:color w:val="000000"/>
          <w:kern w:val="0"/>
          <w:sz w:val="28"/>
          <w:szCs w:val="28"/>
        </w:rPr>
      </w:pPr>
      <w:r>
        <w:rPr>
          <w:rFonts w:ascii="宋体" w:hAnsi="宋体" w:cs="AdobeSongStd-Light" w:hint="eastAsia"/>
          <w:color w:val="000000"/>
          <w:kern w:val="0"/>
          <w:sz w:val="28"/>
          <w:szCs w:val="28"/>
        </w:rPr>
        <w:t>低频</w:t>
      </w:r>
      <w:r>
        <w:rPr>
          <w:rFonts w:ascii="宋体" w:hAnsi="宋体" w:cs="宋体" w:hint="eastAsia"/>
          <w:color w:val="000000"/>
          <w:kern w:val="0"/>
          <w:sz w:val="28"/>
          <w:szCs w:val="28"/>
        </w:rPr>
        <w:t>脉冲电磁场、红外线、干扰电超声波、微波、按摩、蜡袋疗法等。</w:t>
      </w:r>
    </w:p>
    <w:p w14:paraId="3BA0E11C" w14:textId="77777777" w:rsidR="008548C6" w:rsidRDefault="006F28A1">
      <w:pPr>
        <w:pStyle w:val="af5"/>
        <w:adjustRightInd w:val="0"/>
        <w:snapToGrid w:val="0"/>
        <w:spacing w:line="360" w:lineRule="auto"/>
        <w:rPr>
          <w:rFonts w:ascii="宋体" w:hAnsi="宋体"/>
          <w:b/>
          <w:color w:val="000000"/>
          <w:sz w:val="28"/>
          <w:szCs w:val="28"/>
        </w:rPr>
      </w:pPr>
      <w:r>
        <w:rPr>
          <w:rFonts w:ascii="宋体" w:hAnsi="宋体" w:hint="eastAsia"/>
          <w:b/>
          <w:color w:val="000000"/>
          <w:sz w:val="28"/>
          <w:szCs w:val="28"/>
        </w:rPr>
        <w:t>（四）</w:t>
      </w:r>
      <w:r w:rsidR="008548C6">
        <w:rPr>
          <w:rFonts w:ascii="宋体" w:hAnsi="宋体" w:hint="eastAsia"/>
          <w:b/>
          <w:color w:val="000000"/>
          <w:sz w:val="28"/>
          <w:szCs w:val="28"/>
        </w:rPr>
        <w:t>西医治疗</w:t>
      </w:r>
    </w:p>
    <w:p w14:paraId="581244D8" w14:textId="3741F068" w:rsidR="00500E0F" w:rsidRDefault="008548C6" w:rsidP="00500E0F">
      <w:pPr>
        <w:pStyle w:val="af5"/>
        <w:adjustRightInd w:val="0"/>
        <w:snapToGrid w:val="0"/>
        <w:spacing w:line="360" w:lineRule="auto"/>
        <w:ind w:firstLineChars="200" w:firstLine="560"/>
        <w:rPr>
          <w:rFonts w:ascii="宋体" w:hAnsi="宋体"/>
          <w:bCs/>
          <w:color w:val="000000"/>
          <w:sz w:val="28"/>
          <w:szCs w:val="28"/>
        </w:rPr>
      </w:pPr>
      <w:r w:rsidRPr="00500E0F">
        <w:rPr>
          <w:rFonts w:ascii="宋体" w:hAnsi="宋体" w:hint="eastAsia"/>
          <w:bCs/>
          <w:color w:val="000000"/>
          <w:sz w:val="28"/>
          <w:szCs w:val="28"/>
        </w:rPr>
        <w:t>1、</w:t>
      </w:r>
      <w:r w:rsidR="00500E0F" w:rsidRPr="00500E0F">
        <w:rPr>
          <w:rFonts w:ascii="宋体" w:hAnsi="宋体" w:hint="eastAsia"/>
          <w:bCs/>
          <w:color w:val="000000"/>
          <w:sz w:val="28"/>
          <w:szCs w:val="28"/>
        </w:rPr>
        <w:t>药物治疗：补充</w:t>
      </w:r>
      <w:r w:rsidR="00500E0F">
        <w:rPr>
          <w:rFonts w:ascii="宋体" w:hAnsi="宋体" w:hint="eastAsia"/>
          <w:bCs/>
          <w:color w:val="000000"/>
          <w:sz w:val="28"/>
          <w:szCs w:val="28"/>
        </w:rPr>
        <w:t>足够</w:t>
      </w:r>
      <w:r w:rsidR="00500E0F" w:rsidRPr="00500E0F">
        <w:rPr>
          <w:rFonts w:ascii="宋体" w:hAnsi="宋体" w:hint="eastAsia"/>
          <w:bCs/>
          <w:color w:val="000000"/>
          <w:sz w:val="28"/>
          <w:szCs w:val="28"/>
        </w:rPr>
        <w:t>钙剂、</w:t>
      </w:r>
      <w:proofErr w:type="spellStart"/>
      <w:r w:rsidR="00500E0F" w:rsidRPr="00500E0F">
        <w:rPr>
          <w:rFonts w:ascii="宋体" w:hAnsi="宋体" w:hint="eastAsia"/>
          <w:bCs/>
          <w:color w:val="000000"/>
          <w:sz w:val="28"/>
          <w:szCs w:val="28"/>
        </w:rPr>
        <w:t>VitD</w:t>
      </w:r>
      <w:proofErr w:type="spellEnd"/>
      <w:r w:rsidR="00500E0F" w:rsidRPr="00500E0F">
        <w:rPr>
          <w:rFonts w:ascii="宋体" w:hAnsi="宋体" w:hint="eastAsia"/>
          <w:bCs/>
          <w:color w:val="000000"/>
          <w:sz w:val="28"/>
          <w:szCs w:val="28"/>
        </w:rPr>
        <w:t>的基础上，</w:t>
      </w:r>
      <w:r w:rsidR="00500E0F">
        <w:rPr>
          <w:rFonts w:ascii="宋体" w:hAnsi="宋体" w:hint="eastAsia"/>
          <w:bCs/>
          <w:color w:val="000000"/>
          <w:sz w:val="28"/>
          <w:szCs w:val="28"/>
        </w:rPr>
        <w:t>坚持使用</w:t>
      </w:r>
      <w:r w:rsidR="00500E0F" w:rsidRPr="00500E0F">
        <w:rPr>
          <w:rFonts w:ascii="宋体" w:hAnsi="宋体" w:hint="eastAsia"/>
          <w:bCs/>
          <w:color w:val="000000"/>
          <w:sz w:val="28"/>
          <w:szCs w:val="28"/>
        </w:rPr>
        <w:t>抗骨质疏松药物（阿伦膦酸钠、利塞膦酸钠、唑来膦酸钠、地舒单抗等）</w:t>
      </w:r>
      <w:r w:rsidR="00500E0F">
        <w:rPr>
          <w:rFonts w:ascii="宋体" w:hAnsi="宋体" w:hint="eastAsia"/>
          <w:bCs/>
          <w:color w:val="000000"/>
          <w:sz w:val="28"/>
          <w:szCs w:val="28"/>
        </w:rPr>
        <w:t>。骨折早期卧床可使用鲑鱼降钙素、依降钙素减少骨质流失，缓解疼痛。</w:t>
      </w:r>
    </w:p>
    <w:p w14:paraId="49A088A3" w14:textId="54B25275" w:rsidR="006F28A1" w:rsidRPr="00500E0F" w:rsidRDefault="00500E0F" w:rsidP="00500E0F">
      <w:pPr>
        <w:pStyle w:val="af5"/>
        <w:adjustRightInd w:val="0"/>
        <w:snapToGrid w:val="0"/>
        <w:spacing w:line="360" w:lineRule="auto"/>
        <w:ind w:firstLineChars="200" w:firstLine="560"/>
        <w:rPr>
          <w:rFonts w:ascii="宋体" w:hAnsi="宋体"/>
          <w:bCs/>
          <w:color w:val="000000"/>
          <w:sz w:val="28"/>
          <w:szCs w:val="28"/>
        </w:rPr>
      </w:pPr>
      <w:r>
        <w:rPr>
          <w:rFonts w:ascii="宋体" w:hAnsi="宋体" w:hint="eastAsia"/>
          <w:bCs/>
          <w:color w:val="000000"/>
          <w:sz w:val="28"/>
          <w:szCs w:val="28"/>
        </w:rPr>
        <w:t>2、</w:t>
      </w:r>
      <w:r w:rsidR="006F28A1" w:rsidRPr="00500E0F">
        <w:rPr>
          <w:rFonts w:ascii="宋体" w:hAnsi="宋体" w:hint="eastAsia"/>
          <w:bCs/>
          <w:color w:val="000000"/>
          <w:sz w:val="28"/>
          <w:szCs w:val="28"/>
        </w:rPr>
        <w:t>微创手术治疗</w:t>
      </w:r>
    </w:p>
    <w:p w14:paraId="2EA6C143" w14:textId="6F7A9184" w:rsidR="006F28A1" w:rsidRPr="00F97839" w:rsidRDefault="006F28A1">
      <w:pPr>
        <w:pStyle w:val="af5"/>
        <w:adjustRightInd w:val="0"/>
        <w:snapToGrid w:val="0"/>
        <w:spacing w:line="360" w:lineRule="auto"/>
        <w:rPr>
          <w:rFonts w:ascii="宋体" w:hAnsi="宋体"/>
          <w:color w:val="000000"/>
          <w:sz w:val="28"/>
          <w:szCs w:val="28"/>
        </w:rPr>
      </w:pPr>
      <w:r w:rsidRPr="00F97839">
        <w:rPr>
          <w:rFonts w:ascii="宋体" w:hAnsi="宋体" w:hint="eastAsia"/>
          <w:color w:val="000000"/>
          <w:sz w:val="28"/>
          <w:szCs w:val="28"/>
        </w:rPr>
        <w:t xml:space="preserve">    </w:t>
      </w:r>
      <w:r w:rsidR="00BA5A49">
        <w:rPr>
          <w:rFonts w:ascii="宋体" w:hAnsi="宋体" w:hint="eastAsia"/>
          <w:color w:val="000000"/>
          <w:sz w:val="28"/>
          <w:szCs w:val="28"/>
        </w:rPr>
        <w:t>胸腰椎骨折患者</w:t>
      </w:r>
      <w:r w:rsidR="00F97839">
        <w:rPr>
          <w:rFonts w:ascii="宋体" w:hAnsi="宋体" w:hint="eastAsia"/>
          <w:color w:val="000000"/>
          <w:sz w:val="28"/>
          <w:szCs w:val="28"/>
        </w:rPr>
        <w:t>经过非手术治疗，患者症状缓解不明显，或患者不能耐受长时间卧床，可考虑行经皮椎体成形术或经皮椎体后凸成形术。</w:t>
      </w:r>
    </w:p>
    <w:p w14:paraId="041B09B1" w14:textId="094C3DF9" w:rsidR="00A63229" w:rsidRDefault="00BE4F68" w:rsidP="00BE4F68">
      <w:pPr>
        <w:pStyle w:val="af5"/>
        <w:adjustRightInd w:val="0"/>
        <w:snapToGrid w:val="0"/>
        <w:spacing w:line="360" w:lineRule="auto"/>
        <w:ind w:firstLineChars="100" w:firstLine="281"/>
        <w:rPr>
          <w:rFonts w:ascii="宋体" w:hAnsi="宋体"/>
          <w:b/>
          <w:color w:val="000000"/>
          <w:sz w:val="28"/>
          <w:szCs w:val="28"/>
        </w:rPr>
      </w:pPr>
      <w:r w:rsidRPr="00BE4F68">
        <w:rPr>
          <w:rFonts w:ascii="宋体" w:hAnsi="宋体" w:hint="eastAsia"/>
          <w:b/>
          <w:color w:val="000000"/>
          <w:sz w:val="28"/>
          <w:szCs w:val="28"/>
        </w:rPr>
        <w:t>（五）生活方式调摄</w:t>
      </w:r>
    </w:p>
    <w:p w14:paraId="4CF21E06" w14:textId="42B22E51" w:rsidR="00BE4F68" w:rsidRDefault="00BE4F68" w:rsidP="00BE4F68">
      <w:pPr>
        <w:pStyle w:val="af5"/>
        <w:adjustRightInd w:val="0"/>
        <w:snapToGrid w:val="0"/>
        <w:spacing w:line="360" w:lineRule="auto"/>
        <w:ind w:firstLineChars="100" w:firstLine="280"/>
        <w:rPr>
          <w:rFonts w:ascii="宋体" w:hAnsi="宋体"/>
          <w:bCs/>
          <w:color w:val="000000"/>
          <w:sz w:val="28"/>
          <w:szCs w:val="28"/>
        </w:rPr>
      </w:pPr>
      <w:r w:rsidRPr="00BE4F68">
        <w:rPr>
          <w:rFonts w:ascii="宋体" w:hAnsi="宋体" w:hint="eastAsia"/>
          <w:bCs/>
          <w:color w:val="000000"/>
          <w:sz w:val="28"/>
          <w:szCs w:val="28"/>
        </w:rPr>
        <w:t>1、</w:t>
      </w:r>
      <w:r w:rsidRPr="00BE4F68">
        <w:rPr>
          <w:rFonts w:ascii="宋体" w:hAnsi="宋体"/>
          <w:bCs/>
          <w:color w:val="000000"/>
          <w:sz w:val="28"/>
          <w:szCs w:val="28"/>
        </w:rPr>
        <w:t>保持适度、规律的肌力锻炼和康复治疗:适度和规律的肌</w:t>
      </w:r>
      <w:r w:rsidRPr="00BE4F68">
        <w:rPr>
          <w:rFonts w:ascii="宋体" w:hAnsi="宋体"/>
          <w:bCs/>
          <w:color w:val="000000"/>
          <w:sz w:val="28"/>
          <w:szCs w:val="28"/>
        </w:rPr>
        <w:lastRenderedPageBreak/>
        <w:t>力锻炼，有助于防止跌倒，减少骨折风险。锻炼强度和时间应事先咨询专业医师。推荐运动:行走、慢跑、太极拳、五禽戏、八段锦等。</w:t>
      </w:r>
    </w:p>
    <w:p w14:paraId="467D1F59" w14:textId="1CE77B96" w:rsidR="00BE4F68" w:rsidRDefault="00BE4F68" w:rsidP="00BE4F68">
      <w:pPr>
        <w:pStyle w:val="af5"/>
        <w:adjustRightInd w:val="0"/>
        <w:snapToGrid w:val="0"/>
        <w:spacing w:line="360" w:lineRule="auto"/>
        <w:ind w:firstLineChars="100" w:firstLine="280"/>
        <w:rPr>
          <w:rFonts w:ascii="宋体" w:hAnsi="宋体"/>
          <w:bCs/>
          <w:color w:val="000000"/>
          <w:sz w:val="28"/>
          <w:szCs w:val="28"/>
        </w:rPr>
      </w:pPr>
      <w:r>
        <w:rPr>
          <w:rFonts w:ascii="宋体" w:hAnsi="宋体" w:hint="eastAsia"/>
          <w:bCs/>
          <w:color w:val="000000"/>
          <w:sz w:val="28"/>
          <w:szCs w:val="28"/>
        </w:rPr>
        <w:t>2、</w:t>
      </w:r>
      <w:r w:rsidRPr="00BE4F68">
        <w:rPr>
          <w:rFonts w:ascii="宋体" w:hAnsi="宋体"/>
          <w:bCs/>
          <w:color w:val="000000"/>
          <w:sz w:val="28"/>
          <w:szCs w:val="28"/>
        </w:rPr>
        <w:t>坚持健康的生活方式，提倡摄入营养均衡膳食:如每日摄入牛奶300mL或相当量奶制品、富含维生素D、钙、低盐和适量蛋白质的均衡膳食，避免嗜烟、酗酒，避免过量饮用咖啡和碳酸饮料。尽量避免或少用影响骨代谢的药物。</w:t>
      </w:r>
    </w:p>
    <w:p w14:paraId="48A7C193" w14:textId="431D0DC1" w:rsidR="00BE4F68" w:rsidRPr="00BE4F68" w:rsidRDefault="00BE4F68" w:rsidP="00BE4F68">
      <w:pPr>
        <w:pStyle w:val="af5"/>
        <w:adjustRightInd w:val="0"/>
        <w:snapToGrid w:val="0"/>
        <w:spacing w:line="360" w:lineRule="auto"/>
        <w:ind w:firstLineChars="100" w:firstLine="280"/>
        <w:rPr>
          <w:rFonts w:ascii="宋体" w:hAnsi="宋体" w:hint="eastAsia"/>
          <w:bCs/>
          <w:color w:val="000000"/>
          <w:sz w:val="28"/>
          <w:szCs w:val="28"/>
        </w:rPr>
      </w:pPr>
      <w:r>
        <w:rPr>
          <w:rFonts w:ascii="宋体" w:hAnsi="宋体" w:hint="eastAsia"/>
          <w:bCs/>
          <w:color w:val="000000"/>
          <w:sz w:val="28"/>
          <w:szCs w:val="28"/>
        </w:rPr>
        <w:t>3、</w:t>
      </w:r>
      <w:r w:rsidR="002B45FC" w:rsidRPr="002B45FC">
        <w:rPr>
          <w:rFonts w:ascii="宋体" w:hAnsi="宋体"/>
          <w:bCs/>
          <w:color w:val="000000"/>
          <w:sz w:val="28"/>
          <w:szCs w:val="28"/>
        </w:rPr>
        <w:t>保证充足、适度的日照以促进体内维生素D的合成，但需注意避免烈日下暴晒灼伤皮肤。</w:t>
      </w:r>
    </w:p>
    <w:sectPr w:rsidR="00BE4F68" w:rsidRPr="00BE4F68">
      <w:headerReference w:type="default" r:id="rId11"/>
      <w:footerReference w:type="even" r:id="rId12"/>
      <w:footerReference w:type="default" r:id="rId13"/>
      <w:pgSz w:w="11164" w:h="15485"/>
      <w:pgMar w:top="1440" w:right="1797" w:bottom="1440" w:left="179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80119" w14:textId="77777777" w:rsidR="00BC58E0" w:rsidRDefault="00BC58E0">
      <w:r>
        <w:separator/>
      </w:r>
    </w:p>
  </w:endnote>
  <w:endnote w:type="continuationSeparator" w:id="0">
    <w:p w14:paraId="393C31A6" w14:textId="77777777" w:rsidR="00BC58E0" w:rsidRDefault="00BC5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dobeHeitiStd-Regular">
    <w:altName w:val="黑体"/>
    <w:charset w:val="86"/>
    <w:family w:val="auto"/>
    <w:pitch w:val="default"/>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仿宋_GB2312">
    <w:charset w:val="86"/>
    <w:family w:val="modern"/>
    <w:pitch w:val="fixed"/>
    <w:sig w:usb0="00000001" w:usb1="080E0000" w:usb2="00000010" w:usb3="00000000" w:csb0="00040000" w:csb1="00000000"/>
  </w:font>
  <w:font w:name="AdobeSongStd-Light">
    <w:altName w:val="黑体"/>
    <w:charset w:val="86"/>
    <w:family w:val="auto"/>
    <w:pitch w:val="default"/>
    <w:sig w:usb0="00000001" w:usb1="080E0000" w:usb2="00000010" w:usb3="00000000" w:csb0="00040000" w:csb1="00000000"/>
  </w:font>
  <w:font w:name="AdobeSongStd-Light,Bold">
    <w:altName w:val="黑体"/>
    <w:charset w:val="86"/>
    <w:family w:val="auto"/>
    <w:pitch w:val="default"/>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B154F" w14:textId="77777777" w:rsidR="00A63229" w:rsidRDefault="00A63229">
    <w:pPr>
      <w:pStyle w:val="af3"/>
      <w:framePr w:h="0" w:wrap="around" w:vAnchor="text" w:hAnchor="margin" w:xAlign="center" w:y="1"/>
      <w:rPr>
        <w:rStyle w:val="ac"/>
      </w:rPr>
    </w:pPr>
    <w:r>
      <w:fldChar w:fldCharType="begin"/>
    </w:r>
    <w:r>
      <w:rPr>
        <w:rStyle w:val="ac"/>
      </w:rPr>
      <w:instrText xml:space="preserve">PAGE  </w:instrText>
    </w:r>
    <w:r w:rsidR="00000000">
      <w:fldChar w:fldCharType="separate"/>
    </w:r>
    <w:r>
      <w:fldChar w:fldCharType="end"/>
    </w:r>
  </w:p>
  <w:p w14:paraId="36CD71C2" w14:textId="77777777" w:rsidR="00A63229" w:rsidRDefault="00A6322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B3115" w14:textId="77777777" w:rsidR="00A63229" w:rsidRDefault="00A63229">
    <w:pPr>
      <w:pStyle w:val="af3"/>
      <w:framePr w:h="0" w:wrap="around" w:vAnchor="text" w:hAnchor="margin" w:xAlign="center" w:y="1"/>
      <w:rPr>
        <w:rStyle w:val="ac"/>
      </w:rPr>
    </w:pPr>
    <w:r>
      <w:fldChar w:fldCharType="begin"/>
    </w:r>
    <w:r>
      <w:rPr>
        <w:rStyle w:val="ac"/>
      </w:rPr>
      <w:instrText xml:space="preserve">PAGE  </w:instrText>
    </w:r>
    <w:r>
      <w:fldChar w:fldCharType="separate"/>
    </w:r>
    <w:r w:rsidR="00F97839">
      <w:rPr>
        <w:rStyle w:val="ac"/>
        <w:noProof/>
      </w:rPr>
      <w:t>11</w:t>
    </w:r>
    <w:r>
      <w:fldChar w:fldCharType="end"/>
    </w:r>
  </w:p>
  <w:p w14:paraId="7516C460" w14:textId="77777777" w:rsidR="00A63229" w:rsidRDefault="00A6322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02AC2" w14:textId="77777777" w:rsidR="00BC58E0" w:rsidRDefault="00BC58E0">
      <w:r>
        <w:separator/>
      </w:r>
    </w:p>
  </w:footnote>
  <w:footnote w:type="continuationSeparator" w:id="0">
    <w:p w14:paraId="3D3832EA" w14:textId="77777777" w:rsidR="00BC58E0" w:rsidRDefault="00BC5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113A8" w14:textId="77777777" w:rsidR="00A63229" w:rsidRDefault="00A63229">
    <w:pPr>
      <w:pStyle w:val="af0"/>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0000000C"/>
    <w:lvl w:ilvl="0">
      <w:start w:val="1"/>
      <w:numFmt w:val="decimal"/>
      <w:pStyle w:val="a"/>
      <w:suff w:val="nothing"/>
      <w:lvlText w:val="%1　"/>
      <w:lvlJc w:val="left"/>
      <w:pPr>
        <w:ind w:left="0" w:firstLine="0"/>
      </w:pPr>
      <w:rPr>
        <w:rFonts w:ascii="黑体" w:eastAsia="黑体" w:hAnsi="Times New Roman" w:hint="eastAsia"/>
        <w:b w:val="0"/>
        <w:i w:val="0"/>
        <w:sz w:val="21"/>
        <w:szCs w:val="21"/>
      </w:rPr>
    </w:lvl>
    <w:lvl w:ilvl="1">
      <w:start w:val="1"/>
      <w:numFmt w:val="decimal"/>
      <w:pStyle w:val="a0"/>
      <w:suff w:val="nothing"/>
      <w:lvlText w:val="%1.%2　"/>
      <w:lvlJc w:val="left"/>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pStyle w:val="a1"/>
      <w:suff w:val="nothing"/>
      <w:lvlText w:val="%1.%2.%3　"/>
      <w:lvlJc w:val="left"/>
      <w:pPr>
        <w:ind w:left="360" w:firstLine="0"/>
      </w:pPr>
      <w:rPr>
        <w:rFonts w:ascii="黑体" w:eastAsia="黑体" w:hAnsi="Times New Roman" w:hint="eastAsia"/>
        <w:b w:val="0"/>
        <w:i w:val="0"/>
        <w:sz w:val="21"/>
      </w:rPr>
    </w:lvl>
    <w:lvl w:ilvl="3">
      <w:start w:val="1"/>
      <w:numFmt w:val="decimal"/>
      <w:pStyle w:val="a2"/>
      <w:suff w:val="nothing"/>
      <w:lvlText w:val="%1.%2.%3.%4　"/>
      <w:lvlJc w:val="left"/>
      <w:pPr>
        <w:ind w:left="0" w:firstLine="0"/>
      </w:pPr>
      <w:rPr>
        <w:rFonts w:ascii="黑体" w:eastAsia="黑体" w:hAnsi="Times New Roman" w:hint="eastAsia"/>
        <w:b w:val="0"/>
        <w:i w:val="0"/>
        <w:sz w:val="21"/>
      </w:rPr>
    </w:lvl>
    <w:lvl w:ilvl="4">
      <w:start w:val="1"/>
      <w:numFmt w:val="decimal"/>
      <w:pStyle w:val="a3"/>
      <w:suff w:val="nothing"/>
      <w:lvlText w:val="%1.%2.%3.%4.%5　"/>
      <w:lvlJc w:val="left"/>
      <w:pPr>
        <w:ind w:left="0" w:firstLine="0"/>
      </w:pPr>
      <w:rPr>
        <w:rFonts w:ascii="黑体" w:eastAsia="黑体" w:hAnsi="Times New Roman" w:hint="eastAsia"/>
        <w:b w:val="0"/>
        <w:i w:val="0"/>
        <w:sz w:val="21"/>
      </w:rPr>
    </w:lvl>
    <w:lvl w:ilvl="5">
      <w:start w:val="1"/>
      <w:numFmt w:val="decimal"/>
      <w:pStyle w:val="a4"/>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 w15:restartNumberingAfterBreak="0">
    <w:nsid w:val="0000000E"/>
    <w:multiLevelType w:val="multilevel"/>
    <w:tmpl w:val="0000000E"/>
    <w:lvl w:ilvl="0">
      <w:start w:val="1"/>
      <w:numFmt w:val="lowerLetter"/>
      <w:pStyle w:val="a5"/>
      <w:lvlText w:val="%1)"/>
      <w:lvlJc w:val="left"/>
      <w:pPr>
        <w:tabs>
          <w:tab w:val="num" w:pos="839"/>
        </w:tabs>
        <w:ind w:left="839" w:hanging="419"/>
      </w:pPr>
      <w:rPr>
        <w:rFonts w:ascii="宋体" w:eastAsia="宋体" w:hAnsi="宋体" w:hint="eastAsia"/>
        <w:b w:val="0"/>
        <w:i w:val="0"/>
        <w:sz w:val="20"/>
        <w:szCs w:val="18"/>
        <w:vertAlign w:val="baseline"/>
      </w:rPr>
    </w:lvl>
    <w:lvl w:ilvl="1">
      <w:start w:val="1"/>
      <w:numFmt w:val="decimal"/>
      <w:pStyle w:val="a6"/>
      <w:lvlText w:val="%2)"/>
      <w:lvlJc w:val="left"/>
      <w:pPr>
        <w:tabs>
          <w:tab w:val="num" w:pos="1680"/>
        </w:tabs>
        <w:ind w:left="1680" w:hanging="420"/>
      </w:pPr>
      <w:rPr>
        <w:rFonts w:ascii="宋体" w:eastAsia="宋体" w:hAnsi="宋体" w:hint="eastAsia"/>
        <w:b w:val="0"/>
        <w:i w:val="0"/>
        <w:sz w:val="20"/>
        <w:vertAlign w:val="baseline"/>
      </w:rPr>
    </w:lvl>
    <w:lvl w:ilvl="2">
      <w:start w:val="1"/>
      <w:numFmt w:val="decimal"/>
      <w:pStyle w:val="a7"/>
      <w:lvlText w:val="(%3)"/>
      <w:lvlJc w:val="left"/>
      <w:pPr>
        <w:tabs>
          <w:tab w:val="num" w:pos="0"/>
        </w:tabs>
        <w:ind w:left="1678" w:hanging="419"/>
      </w:pPr>
      <w:rPr>
        <w:rFonts w:ascii="宋体" w:eastAsia="宋体" w:hAnsi="宋体" w:hint="eastAsia"/>
        <w:b w:val="0"/>
        <w:i w:val="0"/>
        <w:sz w:val="20"/>
        <w:szCs w:val="21"/>
        <w:vertAlign w:val="baseline"/>
      </w:rPr>
    </w:lvl>
    <w:lvl w:ilvl="3">
      <w:start w:val="1"/>
      <w:numFmt w:val="decimal"/>
      <w:lvlText w:val="%4."/>
      <w:lvlJc w:val="left"/>
      <w:pPr>
        <w:tabs>
          <w:tab w:val="num" w:pos="2098"/>
        </w:tabs>
        <w:ind w:left="2098" w:hanging="420"/>
      </w:pPr>
      <w:rPr>
        <w:rFonts w:hint="eastAsia"/>
        <w:vertAlign w:val="baseline"/>
      </w:rPr>
    </w:lvl>
    <w:lvl w:ilvl="4">
      <w:start w:val="1"/>
      <w:numFmt w:val="lowerLetter"/>
      <w:lvlText w:val="%5)"/>
      <w:lvlJc w:val="left"/>
      <w:pPr>
        <w:tabs>
          <w:tab w:val="num" w:pos="2517"/>
        </w:tabs>
        <w:ind w:left="2517" w:hanging="419"/>
      </w:pPr>
      <w:rPr>
        <w:rFonts w:hint="eastAsia"/>
        <w:vertAlign w:val="baseline"/>
      </w:rPr>
    </w:lvl>
    <w:lvl w:ilvl="5">
      <w:start w:val="1"/>
      <w:numFmt w:val="lowerRoman"/>
      <w:lvlText w:val="%6."/>
      <w:lvlJc w:val="right"/>
      <w:pPr>
        <w:tabs>
          <w:tab w:val="num" w:pos="2942"/>
        </w:tabs>
        <w:ind w:left="2937" w:hanging="420"/>
      </w:pPr>
      <w:rPr>
        <w:rFonts w:hint="eastAsia"/>
        <w:vertAlign w:val="baseline"/>
      </w:rPr>
    </w:lvl>
    <w:lvl w:ilvl="6">
      <w:start w:val="1"/>
      <w:numFmt w:val="decimal"/>
      <w:lvlText w:val="%7."/>
      <w:lvlJc w:val="left"/>
      <w:pPr>
        <w:tabs>
          <w:tab w:val="num" w:pos="3362"/>
        </w:tabs>
        <w:ind w:left="3356" w:hanging="414"/>
      </w:pPr>
      <w:rPr>
        <w:rFonts w:hint="eastAsia"/>
        <w:vertAlign w:val="baseline"/>
      </w:rPr>
    </w:lvl>
    <w:lvl w:ilvl="7">
      <w:start w:val="1"/>
      <w:numFmt w:val="lowerLetter"/>
      <w:lvlText w:val="%8)"/>
      <w:lvlJc w:val="left"/>
      <w:pPr>
        <w:tabs>
          <w:tab w:val="num" w:pos="3781"/>
        </w:tabs>
        <w:ind w:left="3776" w:hanging="414"/>
      </w:pPr>
      <w:rPr>
        <w:rFonts w:hint="eastAsia"/>
        <w:vertAlign w:val="baseline"/>
      </w:rPr>
    </w:lvl>
    <w:lvl w:ilvl="8">
      <w:start w:val="1"/>
      <w:numFmt w:val="lowerRoman"/>
      <w:lvlText w:val="%9."/>
      <w:lvlJc w:val="right"/>
      <w:pPr>
        <w:tabs>
          <w:tab w:val="num" w:pos="4201"/>
        </w:tabs>
        <w:ind w:left="4201" w:hanging="420"/>
      </w:pPr>
      <w:rPr>
        <w:rFonts w:hint="eastAsia"/>
        <w:vertAlign w:val="baseline"/>
      </w:rPr>
    </w:lvl>
  </w:abstractNum>
  <w:num w:numId="1" w16cid:durableId="1381057962">
    <w:abstractNumId w:val="0"/>
  </w:num>
  <w:num w:numId="2" w16cid:durableId="1941717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F047D"/>
    <w:rsid w:val="00103AEE"/>
    <w:rsid w:val="00172A27"/>
    <w:rsid w:val="002B45FC"/>
    <w:rsid w:val="002C2730"/>
    <w:rsid w:val="002F2D3C"/>
    <w:rsid w:val="00433E80"/>
    <w:rsid w:val="004848DA"/>
    <w:rsid w:val="00500E0F"/>
    <w:rsid w:val="006307A8"/>
    <w:rsid w:val="006546CD"/>
    <w:rsid w:val="006F28A1"/>
    <w:rsid w:val="007E5885"/>
    <w:rsid w:val="008548C6"/>
    <w:rsid w:val="008E7FD6"/>
    <w:rsid w:val="00912CE2"/>
    <w:rsid w:val="00986408"/>
    <w:rsid w:val="00A1214E"/>
    <w:rsid w:val="00A63229"/>
    <w:rsid w:val="00BA5A49"/>
    <w:rsid w:val="00BB0516"/>
    <w:rsid w:val="00BC58E0"/>
    <w:rsid w:val="00BD7880"/>
    <w:rsid w:val="00BE4F68"/>
    <w:rsid w:val="00C67AF2"/>
    <w:rsid w:val="00D2201C"/>
    <w:rsid w:val="00DB4968"/>
    <w:rsid w:val="00E77EEC"/>
    <w:rsid w:val="00EB17B8"/>
    <w:rsid w:val="00F8501C"/>
    <w:rsid w:val="00F97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50"/>
    <o:shapelayout v:ext="edit">
      <o:idmap v:ext="edit" data="2"/>
    </o:shapelayout>
  </w:shapeDefaults>
  <w:decimalSymbol w:val="."/>
  <w:listSeparator w:val=","/>
  <w14:docId w14:val="3EA242D3"/>
  <w15:docId w15:val="{A89F71A0-899C-4464-9511-DCF60FF75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8">
    <w:name w:val="Normal"/>
    <w:qFormat/>
    <w:pPr>
      <w:widowControl w:val="0"/>
      <w:jc w:val="both"/>
    </w:pPr>
    <w:rPr>
      <w:kern w:val="2"/>
      <w:sz w:val="21"/>
      <w:szCs w:val="24"/>
    </w:rPr>
  </w:style>
  <w:style w:type="paragraph" w:styleId="3">
    <w:name w:val="heading 3"/>
    <w:basedOn w:val="a8"/>
    <w:next w:val="a8"/>
    <w:link w:val="30"/>
    <w:qFormat/>
    <w:pPr>
      <w:keepNext/>
      <w:keepLines/>
      <w:spacing w:line="300" w:lineRule="auto"/>
      <w:jc w:val="left"/>
      <w:outlineLvl w:val="2"/>
    </w:pPr>
    <w:rPr>
      <w:rFonts w:ascii="宋体" w:hAnsi="宋体" w:cs="AdobeHeitiStd-Regular"/>
      <w:color w:val="000000"/>
      <w:sz w:val="24"/>
    </w:rPr>
  </w:style>
  <w:style w:type="character" w:default="1" w:styleId="a9">
    <w:name w:val="Default Paragraph Font"/>
    <w:uiPriority w:val="1"/>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page number"/>
    <w:basedOn w:val="a9"/>
  </w:style>
  <w:style w:type="character" w:styleId="ad">
    <w:name w:val="Strong"/>
    <w:basedOn w:val="a9"/>
    <w:qFormat/>
    <w:rPr>
      <w:b/>
      <w:bCs/>
    </w:rPr>
  </w:style>
  <w:style w:type="character" w:customStyle="1" w:styleId="headline-content2">
    <w:name w:val="headline-content2"/>
    <w:basedOn w:val="a9"/>
  </w:style>
  <w:style w:type="character" w:styleId="ae">
    <w:name w:val="Hyperlink"/>
    <w:basedOn w:val="a9"/>
    <w:rPr>
      <w:color w:val="0000CC"/>
      <w:u w:val="single"/>
    </w:rPr>
  </w:style>
  <w:style w:type="character" w:customStyle="1" w:styleId="30">
    <w:name w:val="标题 3 字符"/>
    <w:basedOn w:val="a9"/>
    <w:link w:val="3"/>
    <w:rPr>
      <w:rFonts w:ascii="宋体" w:eastAsia="宋体" w:hAnsi="宋体" w:cs="AdobeHeitiStd-Regular"/>
      <w:color w:val="000000"/>
      <w:sz w:val="24"/>
      <w:szCs w:val="24"/>
      <w:lang w:val="en-US" w:eastAsia="zh-CN" w:bidi="ar-SA"/>
    </w:rPr>
  </w:style>
  <w:style w:type="paragraph" w:styleId="af">
    <w:name w:val="Date"/>
    <w:basedOn w:val="a8"/>
    <w:next w:val="a8"/>
    <w:pPr>
      <w:ind w:leftChars="2500" w:left="100"/>
    </w:pPr>
  </w:style>
  <w:style w:type="paragraph" w:customStyle="1" w:styleId="a4">
    <w:name w:val="五级条标题"/>
    <w:basedOn w:val="a3"/>
    <w:next w:val="a8"/>
    <w:pPr>
      <w:numPr>
        <w:ilvl w:val="5"/>
      </w:numPr>
      <w:outlineLvl w:val="6"/>
    </w:pPr>
  </w:style>
  <w:style w:type="paragraph" w:customStyle="1" w:styleId="a2">
    <w:name w:val="三级条标题"/>
    <w:basedOn w:val="a1"/>
    <w:next w:val="a8"/>
    <w:pPr>
      <w:numPr>
        <w:ilvl w:val="3"/>
      </w:numPr>
      <w:outlineLvl w:val="4"/>
    </w:pPr>
  </w:style>
  <w:style w:type="paragraph" w:styleId="af0">
    <w:name w:val="header"/>
    <w:basedOn w:val="a8"/>
    <w:pPr>
      <w:pBdr>
        <w:bottom w:val="single" w:sz="6" w:space="1" w:color="auto"/>
      </w:pBdr>
      <w:tabs>
        <w:tab w:val="center" w:pos="4153"/>
        <w:tab w:val="right" w:pos="8306"/>
      </w:tabs>
      <w:snapToGrid w:val="0"/>
      <w:jc w:val="center"/>
    </w:pPr>
    <w:rPr>
      <w:sz w:val="18"/>
      <w:szCs w:val="18"/>
    </w:rPr>
  </w:style>
  <w:style w:type="paragraph" w:customStyle="1" w:styleId="a0">
    <w:name w:val="一级条标题"/>
    <w:next w:val="a8"/>
    <w:pPr>
      <w:numPr>
        <w:ilvl w:val="1"/>
        <w:numId w:val="1"/>
      </w:numPr>
      <w:spacing w:beforeLines="50" w:afterLines="50"/>
      <w:outlineLvl w:val="2"/>
    </w:pPr>
    <w:rPr>
      <w:rFonts w:ascii="黑体" w:eastAsia="黑体"/>
      <w:sz w:val="21"/>
      <w:szCs w:val="21"/>
    </w:rPr>
  </w:style>
  <w:style w:type="paragraph" w:customStyle="1" w:styleId="af1">
    <w:name w:val="封面标准名称"/>
    <w:pPr>
      <w:widowControl w:val="0"/>
      <w:spacing w:line="680" w:lineRule="exact"/>
      <w:jc w:val="center"/>
      <w:textAlignment w:val="center"/>
    </w:pPr>
    <w:rPr>
      <w:rFonts w:ascii="黑体" w:eastAsia="黑体"/>
      <w:sz w:val="52"/>
    </w:rPr>
  </w:style>
  <w:style w:type="paragraph" w:styleId="af2">
    <w:name w:val="annotation text"/>
    <w:basedOn w:val="a8"/>
    <w:pPr>
      <w:jc w:val="left"/>
    </w:pPr>
    <w:rPr>
      <w:szCs w:val="20"/>
    </w:rPr>
  </w:style>
  <w:style w:type="paragraph" w:styleId="af3">
    <w:name w:val="footer"/>
    <w:basedOn w:val="a8"/>
    <w:pPr>
      <w:tabs>
        <w:tab w:val="center" w:pos="4153"/>
        <w:tab w:val="right" w:pos="8306"/>
      </w:tabs>
      <w:snapToGrid w:val="0"/>
      <w:jc w:val="left"/>
    </w:pPr>
    <w:rPr>
      <w:sz w:val="18"/>
      <w:szCs w:val="18"/>
    </w:rPr>
  </w:style>
  <w:style w:type="paragraph" w:styleId="af4">
    <w:name w:val="Balloon Text"/>
    <w:basedOn w:val="a8"/>
    <w:rPr>
      <w:sz w:val="18"/>
      <w:szCs w:val="18"/>
    </w:rPr>
  </w:style>
  <w:style w:type="paragraph" w:styleId="af5">
    <w:name w:val="Plain Text"/>
    <w:basedOn w:val="a8"/>
    <w:rPr>
      <w:rFonts w:ascii="Courier New" w:hAnsi="Courier New"/>
      <w:szCs w:val="20"/>
    </w:rPr>
  </w:style>
  <w:style w:type="paragraph" w:customStyle="1" w:styleId="Char">
    <w:name w:val="Char"/>
    <w:basedOn w:val="a8"/>
    <w:pPr>
      <w:widowControl/>
      <w:spacing w:after="160" w:line="240" w:lineRule="exact"/>
      <w:jc w:val="left"/>
    </w:pPr>
  </w:style>
  <w:style w:type="paragraph" w:customStyle="1" w:styleId="a7">
    <w:name w:val="编号列项（三级）"/>
    <w:pPr>
      <w:numPr>
        <w:ilvl w:val="2"/>
        <w:numId w:val="2"/>
      </w:numPr>
      <w:tabs>
        <w:tab w:val="left" w:pos="0"/>
      </w:tabs>
    </w:pPr>
    <w:rPr>
      <w:rFonts w:ascii="宋体"/>
      <w:sz w:val="21"/>
    </w:rPr>
  </w:style>
  <w:style w:type="paragraph" w:customStyle="1" w:styleId="a">
    <w:name w:val="章标题"/>
    <w:next w:val="a8"/>
    <w:pPr>
      <w:numPr>
        <w:numId w:val="1"/>
      </w:numPr>
      <w:spacing w:beforeLines="100" w:afterLines="100"/>
      <w:jc w:val="both"/>
      <w:outlineLvl w:val="1"/>
    </w:pPr>
    <w:rPr>
      <w:rFonts w:ascii="黑体" w:eastAsia="黑体"/>
      <w:sz w:val="21"/>
    </w:rPr>
  </w:style>
  <w:style w:type="paragraph" w:customStyle="1" w:styleId="a1">
    <w:name w:val="二级条标题"/>
    <w:basedOn w:val="a0"/>
    <w:next w:val="a8"/>
    <w:pPr>
      <w:numPr>
        <w:ilvl w:val="2"/>
      </w:numPr>
      <w:spacing w:beforeLines="0" w:afterLines="0"/>
      <w:outlineLvl w:val="3"/>
    </w:pPr>
  </w:style>
  <w:style w:type="paragraph" w:customStyle="1" w:styleId="a3">
    <w:name w:val="四级条标题"/>
    <w:basedOn w:val="a2"/>
    <w:next w:val="a8"/>
    <w:pPr>
      <w:numPr>
        <w:ilvl w:val="4"/>
      </w:numPr>
      <w:outlineLvl w:val="5"/>
    </w:pPr>
  </w:style>
  <w:style w:type="paragraph" w:customStyle="1" w:styleId="a6">
    <w:name w:val="数字编号列项（二级）"/>
    <w:pPr>
      <w:numPr>
        <w:ilvl w:val="1"/>
        <w:numId w:val="2"/>
      </w:numPr>
      <w:tabs>
        <w:tab w:val="left" w:pos="1680"/>
      </w:tabs>
      <w:jc w:val="both"/>
    </w:pPr>
    <w:rPr>
      <w:rFonts w:ascii="宋体"/>
      <w:sz w:val="21"/>
    </w:rPr>
  </w:style>
  <w:style w:type="paragraph" w:customStyle="1" w:styleId="a5">
    <w:name w:val="字母编号列项（一级）"/>
    <w:pPr>
      <w:numPr>
        <w:numId w:val="2"/>
      </w:numPr>
      <w:tabs>
        <w:tab w:val="left" w:pos="839"/>
      </w:tabs>
      <w:jc w:val="both"/>
    </w:pPr>
    <w:rPr>
      <w:rFonts w:ascii="宋体"/>
      <w:sz w:val="21"/>
    </w:rPr>
  </w:style>
  <w:style w:type="table" w:styleId="af6">
    <w:name w:val="Table Grid"/>
    <w:basedOn w:val="aa"/>
    <w:rsid w:val="00C67A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caption"/>
    <w:basedOn w:val="a8"/>
    <w:next w:val="a8"/>
    <w:unhideWhenUsed/>
    <w:qFormat/>
    <w:rsid w:val="00A1214E"/>
    <w:rPr>
      <w:rFonts w:asciiTheme="majorHAnsi" w:eastAsia="黑体" w:hAnsiTheme="majorHAnsi" w:cstheme="majorBidi"/>
      <w:sz w:val="20"/>
      <w:szCs w:val="20"/>
    </w:rPr>
  </w:style>
  <w:style w:type="paragraph" w:customStyle="1" w:styleId="Char0">
    <w:name w:val=" Char"/>
    <w:basedOn w:val="a8"/>
    <w:autoRedefine/>
    <w:rsid w:val="00D2201C"/>
    <w:pPr>
      <w:widowControl/>
      <w:spacing w:after="160" w:line="240" w:lineRule="exact"/>
      <w:jc w:val="left"/>
    </w:pPr>
    <w:rPr>
      <w:rFonts w:ascii="Verdana" w:eastAsia="仿宋_GB2312" w:hAnsi="Verdana"/>
      <w:kern w:val="0"/>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076230">
      <w:bodyDiv w:val="1"/>
      <w:marLeft w:val="0"/>
      <w:marRight w:val="0"/>
      <w:marTop w:val="0"/>
      <w:marBottom w:val="0"/>
      <w:divBdr>
        <w:top w:val="none" w:sz="0" w:space="0" w:color="auto"/>
        <w:left w:val="none" w:sz="0" w:space="0" w:color="auto"/>
        <w:bottom w:val="none" w:sz="0" w:space="0" w:color="auto"/>
        <w:right w:val="none" w:sz="0" w:space="0" w:color="auto"/>
      </w:divBdr>
      <w:divsChild>
        <w:div w:id="380983991">
          <w:marLeft w:val="0"/>
          <w:marRight w:val="0"/>
          <w:marTop w:val="15"/>
          <w:marBottom w:val="0"/>
          <w:divBdr>
            <w:top w:val="none" w:sz="0" w:space="0" w:color="auto"/>
            <w:left w:val="none" w:sz="0" w:space="0" w:color="auto"/>
            <w:bottom w:val="none" w:sz="0" w:space="0" w:color="auto"/>
            <w:right w:val="none" w:sz="0" w:space="0" w:color="auto"/>
          </w:divBdr>
          <w:divsChild>
            <w:div w:id="1757752490">
              <w:marLeft w:val="0"/>
              <w:marRight w:val="0"/>
              <w:marTop w:val="0"/>
              <w:marBottom w:val="0"/>
              <w:divBdr>
                <w:top w:val="none" w:sz="0" w:space="0" w:color="auto"/>
                <w:left w:val="none" w:sz="0" w:space="0" w:color="auto"/>
                <w:bottom w:val="none" w:sz="0" w:space="0" w:color="auto"/>
                <w:right w:val="none" w:sz="0" w:space="0" w:color="auto"/>
              </w:divBdr>
            </w:div>
          </w:divsChild>
        </w:div>
        <w:div w:id="2103918173">
          <w:marLeft w:val="0"/>
          <w:marRight w:val="0"/>
          <w:marTop w:val="15"/>
          <w:marBottom w:val="0"/>
          <w:divBdr>
            <w:top w:val="none" w:sz="0" w:space="0" w:color="auto"/>
            <w:left w:val="none" w:sz="0" w:space="0" w:color="auto"/>
            <w:bottom w:val="none" w:sz="0" w:space="0" w:color="auto"/>
            <w:right w:val="none" w:sz="0" w:space="0" w:color="auto"/>
          </w:divBdr>
          <w:divsChild>
            <w:div w:id="118031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aike.baidu.com/view/21503.ht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baike.baidu.com/view/151846.htm" TargetMode="External"/><Relationship Id="rId4" Type="http://schemas.openxmlformats.org/officeDocument/2006/relationships/settings" Target="settings.xml"/><Relationship Id="rId9" Type="http://schemas.openxmlformats.org/officeDocument/2006/relationships/hyperlink" Target="http://baike.baidu.com/view/40223.htm"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B6892-94A3-40FB-AE44-54E76ECEF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404</Words>
  <Characters>2303</Characters>
  <Application>Microsoft Office Word</Application>
  <DocSecurity>0</DocSecurity>
  <PresentationFormat/>
  <Lines>19</Lines>
  <Paragraphs>5</Paragraphs>
  <Slides>0</Slides>
  <Notes>0</Notes>
  <HiddenSlides>0</HiddenSlides>
  <MMClips>0</MMClips>
  <ScaleCrop>false</ScaleCrop>
  <Company>q</Company>
  <LinksUpToDate>false</LinksUpToDate>
  <CharactersWithSpaces>2702</CharactersWithSpaces>
  <SharedDoc>false</SharedDoc>
  <HLinks>
    <vt:vector size="36" baseType="variant">
      <vt:variant>
        <vt:i4>4915215</vt:i4>
      </vt:variant>
      <vt:variant>
        <vt:i4>15</vt:i4>
      </vt:variant>
      <vt:variant>
        <vt:i4>0</vt:i4>
      </vt:variant>
      <vt:variant>
        <vt:i4>5</vt:i4>
      </vt:variant>
      <vt:variant>
        <vt:lpwstr>app:ds:visual analogue scales VAS</vt:lpwstr>
      </vt:variant>
      <vt:variant>
        <vt:lpwstr/>
      </vt:variant>
      <vt:variant>
        <vt:i4>6094858</vt:i4>
      </vt:variant>
      <vt:variant>
        <vt:i4>12</vt:i4>
      </vt:variant>
      <vt:variant>
        <vt:i4>0</vt:i4>
      </vt:variant>
      <vt:variant>
        <vt:i4>5</vt:i4>
      </vt:variant>
      <vt:variant>
        <vt:lpwstr>http://baike.baidu.com/view/66884.htm</vt:lpwstr>
      </vt:variant>
      <vt:variant>
        <vt:lpwstr/>
      </vt:variant>
      <vt:variant>
        <vt:i4>3604534</vt:i4>
      </vt:variant>
      <vt:variant>
        <vt:i4>9</vt:i4>
      </vt:variant>
      <vt:variant>
        <vt:i4>0</vt:i4>
      </vt:variant>
      <vt:variant>
        <vt:i4>5</vt:i4>
      </vt:variant>
      <vt:variant>
        <vt:lpwstr>http://baike.baidu.com/view/151846.htm</vt:lpwstr>
      </vt:variant>
      <vt:variant>
        <vt:lpwstr/>
      </vt:variant>
      <vt:variant>
        <vt:i4>5308421</vt:i4>
      </vt:variant>
      <vt:variant>
        <vt:i4>6</vt:i4>
      </vt:variant>
      <vt:variant>
        <vt:i4>0</vt:i4>
      </vt:variant>
      <vt:variant>
        <vt:i4>5</vt:i4>
      </vt:variant>
      <vt:variant>
        <vt:lpwstr>http://baike.baidu.com/view/40223.htm</vt:lpwstr>
      </vt:variant>
      <vt:variant>
        <vt:lpwstr/>
      </vt:variant>
      <vt:variant>
        <vt:i4>5373956</vt:i4>
      </vt:variant>
      <vt:variant>
        <vt:i4>3</vt:i4>
      </vt:variant>
      <vt:variant>
        <vt:i4>0</vt:i4>
      </vt:variant>
      <vt:variant>
        <vt:i4>5</vt:i4>
      </vt:variant>
      <vt:variant>
        <vt:lpwstr>http://baike.baidu.com/view/21503.htm</vt:lpwstr>
      </vt:variant>
      <vt:variant>
        <vt:lpwstr/>
      </vt:variant>
      <vt:variant>
        <vt:i4>6094858</vt:i4>
      </vt:variant>
      <vt:variant>
        <vt:i4>0</vt:i4>
      </vt:variant>
      <vt:variant>
        <vt:i4>0</vt:i4>
      </vt:variant>
      <vt:variant>
        <vt:i4>5</vt:i4>
      </vt:variant>
      <vt:variant>
        <vt:lpwstr>http://baike.baidu.com/view/66884.htm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骨质疏松症优化治疗方案梳理</dc:title>
  <dc:creator>g</dc:creator>
  <cp:lastModifiedBy>chang zheng</cp:lastModifiedBy>
  <cp:revision>2</cp:revision>
  <cp:lastPrinted>2012-10-26T01:41:00Z</cp:lastPrinted>
  <dcterms:created xsi:type="dcterms:W3CDTF">2022-12-09T12:29:00Z</dcterms:created>
  <dcterms:modified xsi:type="dcterms:W3CDTF">2022-12-09T12:29:00Z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2052-8.1.0.3483</vt:lpwstr>
  </property>
</Properties>
</file>