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default" w:ascii="仿宋_GB2312" w:hAnsi="仿宋_GB2312" w:eastAsia="仿宋_GB2312" w:cs="仿宋_GB2312"/>
          <w:kern w:val="2"/>
          <w:sz w:val="32"/>
          <w:szCs w:val="32"/>
          <w:lang w:val="en-US" w:eastAsia="zh-CN" w:bidi="ar-SA"/>
        </w:rPr>
      </w:pPr>
      <w:bookmarkStart w:id="0" w:name="_GoBack"/>
      <w:bookmarkEnd w:id="0"/>
      <w:r>
        <w:rPr>
          <w:rFonts w:hint="eastAsia" w:ascii="仿宋_GB2312" w:hAnsi="仿宋_GB2312" w:eastAsia="仿宋_GB2312" w:cs="仿宋_GB2312"/>
          <w:kern w:val="2"/>
          <w:sz w:val="32"/>
          <w:szCs w:val="32"/>
          <w:lang w:val="en-US" w:eastAsia="zh-CN" w:bidi="ar-SA"/>
        </w:rPr>
        <w:t>附：各包</w:t>
      </w:r>
      <w:r>
        <w:rPr>
          <w:rFonts w:hint="default" w:ascii="仿宋_GB2312" w:hAnsi="仿宋_GB2312" w:eastAsia="仿宋_GB2312" w:cs="仿宋_GB2312"/>
          <w:kern w:val="2"/>
          <w:sz w:val="32"/>
          <w:szCs w:val="32"/>
          <w:lang w:val="en-US" w:eastAsia="zh-CN" w:bidi="ar-SA"/>
        </w:rPr>
        <w:t>具体参数及要求</w:t>
      </w:r>
    </w:p>
    <w:p>
      <w:pPr>
        <w:pStyle w:val="8"/>
        <w:keepNext w:val="0"/>
        <w:keepLines w:val="0"/>
        <w:pageBreakBefore w:val="0"/>
        <w:widowControl w:val="0"/>
        <w:kinsoku/>
        <w:wordWrap/>
        <w:overflowPunct/>
        <w:topLinePunct w:val="0"/>
        <w:bidi w:val="0"/>
        <w:snapToGrid/>
        <w:spacing w:line="560" w:lineRule="exact"/>
        <w:ind w:left="0" w:leftChars="0" w:firstLine="0" w:firstLineChars="0"/>
        <w:jc w:val="both"/>
        <w:textAlignment w:val="auto"/>
        <w:rPr>
          <w:rFonts w:hint="eastAsia" w:ascii="仿宋_GB2312" w:hAnsi="仿宋_GB2312" w:eastAsia="仿宋_GB2312" w:cs="仿宋_GB2312"/>
          <w:b/>
          <w:bCs/>
          <w:color w:val="000000" w:themeColor="text1"/>
          <w:sz w:val="32"/>
          <w:szCs w:val="32"/>
          <w:lang w:eastAsia="zh-CN"/>
          <w14:textFill>
            <w14:solidFill>
              <w14:schemeClr w14:val="tx1"/>
            </w14:solidFill>
          </w14:textFill>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包一</w:t>
      </w:r>
      <w:r>
        <w:rPr>
          <w:rFonts w:hint="eastAsia" w:ascii="仿宋_GB2312" w:hAnsi="仿宋_GB2312" w:eastAsia="仿宋_GB2312" w:cs="仿宋_GB2312"/>
          <w:b/>
          <w:bCs/>
          <w:color w:val="000000" w:themeColor="text1"/>
          <w:sz w:val="32"/>
          <w:szCs w:val="32"/>
          <w14:textFill>
            <w14:solidFill>
              <w14:schemeClr w14:val="tx1"/>
            </w14:solidFill>
          </w14:textFill>
        </w:rPr>
        <w:t>、</w:t>
      </w:r>
      <w:r>
        <w:rPr>
          <w:rFonts w:hint="eastAsia" w:ascii="仿宋_GB2312" w:hAnsi="仿宋_GB2312" w:eastAsia="仿宋_GB2312" w:cs="仿宋_GB2312"/>
          <w:b/>
          <w:bCs/>
          <w:color w:val="000000" w:themeColor="text1"/>
          <w:sz w:val="32"/>
          <w:szCs w:val="32"/>
          <w:lang w:eastAsia="zh-CN"/>
          <w14:textFill>
            <w14:solidFill>
              <w14:schemeClr w14:val="tx1"/>
            </w14:solidFill>
          </w14:textFill>
        </w:rPr>
        <w:t>高频电刀技术参数</w:t>
      </w:r>
    </w:p>
    <w:p>
      <w:pPr>
        <w:numPr>
          <w:ilvl w:val="0"/>
          <w:numId w:val="1"/>
        </w:numPr>
        <w:spacing w:line="340" w:lineRule="exact"/>
        <w:ind w:left="357" w:hanging="357"/>
        <w:rPr>
          <w:rFonts w:ascii="宋体" w:hAnsi="宋体"/>
          <w:sz w:val="21"/>
          <w:szCs w:val="21"/>
        </w:rPr>
      </w:pPr>
      <w:r>
        <w:rPr>
          <w:rFonts w:hint="eastAsia" w:ascii="宋体" w:hAnsi="宋体"/>
          <w:sz w:val="21"/>
          <w:szCs w:val="21"/>
        </w:rPr>
        <w:t>输出全悬浮，具有两个相互独立和隔离的CF型防除颤应用部分（单极和双极）。</w:t>
      </w:r>
    </w:p>
    <w:p>
      <w:pPr>
        <w:numPr>
          <w:ilvl w:val="0"/>
          <w:numId w:val="1"/>
        </w:numPr>
        <w:tabs>
          <w:tab w:val="left" w:pos="540"/>
        </w:tabs>
        <w:spacing w:line="340" w:lineRule="exact"/>
        <w:ind w:left="357" w:hanging="357"/>
        <w:rPr>
          <w:rFonts w:ascii="宋体" w:hAnsi="宋体"/>
          <w:bCs/>
          <w:spacing w:val="14"/>
          <w:sz w:val="21"/>
          <w:szCs w:val="21"/>
        </w:rPr>
      </w:pPr>
      <w:r>
        <w:rPr>
          <w:rFonts w:hint="eastAsia" w:ascii="宋体" w:hAnsi="宋体"/>
          <w:sz w:val="21"/>
          <w:szCs w:val="21"/>
        </w:rPr>
        <w:t>适用于需要切割和/或凝血的各类外科手术，包括普外、心脏、泌尿、妇科、肛肠、骨科、胸外、肿瘤等，配以合适附件还可应用于内窥镜、腹腔镜等手术；双极可用于显微、神经、五官、手外等精细手术。</w:t>
      </w:r>
    </w:p>
    <w:p>
      <w:pPr>
        <w:numPr>
          <w:ilvl w:val="0"/>
          <w:numId w:val="1"/>
        </w:numPr>
        <w:tabs>
          <w:tab w:val="left" w:pos="540"/>
        </w:tabs>
        <w:spacing w:line="340" w:lineRule="exact"/>
        <w:ind w:left="357" w:hanging="357"/>
        <w:rPr>
          <w:rFonts w:hint="eastAsia" w:ascii="宋体" w:hAnsi="宋体"/>
          <w:bCs/>
          <w:spacing w:val="14"/>
          <w:sz w:val="21"/>
          <w:szCs w:val="21"/>
        </w:rPr>
      </w:pPr>
      <w:r>
        <w:rPr>
          <w:rFonts w:hint="eastAsia" w:ascii="宋体" w:hAnsi="宋体"/>
          <w:snapToGrid w:val="0"/>
          <w:sz w:val="21"/>
          <w:szCs w:val="21"/>
        </w:rPr>
        <w:t>具有</w:t>
      </w:r>
      <w:r>
        <w:rPr>
          <w:rFonts w:hint="eastAsia" w:ascii="宋体" w:hAnsi="宋体"/>
          <w:snapToGrid w:val="0"/>
          <w:spacing w:val="-2"/>
          <w:sz w:val="21"/>
          <w:szCs w:val="21"/>
        </w:rPr>
        <w:t>单极纯切、混切1、混切2、混切3、单极凝和双极凝等工作模式。单</w:t>
      </w:r>
      <w:r>
        <w:rPr>
          <w:rFonts w:hint="eastAsia" w:ascii="宋体" w:hAnsi="宋体"/>
          <w:sz w:val="21"/>
          <w:szCs w:val="21"/>
        </w:rPr>
        <w:t>极和双极工作频率（主频率）为512kHz。</w:t>
      </w:r>
    </w:p>
    <w:p>
      <w:pPr>
        <w:numPr>
          <w:ilvl w:val="0"/>
          <w:numId w:val="1"/>
        </w:numPr>
        <w:tabs>
          <w:tab w:val="left" w:pos="540"/>
        </w:tabs>
        <w:spacing w:line="340" w:lineRule="exact"/>
        <w:ind w:left="357" w:hanging="357"/>
        <w:rPr>
          <w:rFonts w:hint="eastAsia" w:ascii="宋体" w:hAnsi="宋体"/>
          <w:bCs/>
          <w:spacing w:val="14"/>
          <w:sz w:val="21"/>
          <w:szCs w:val="21"/>
        </w:rPr>
      </w:pPr>
      <w:r>
        <w:rPr>
          <w:rFonts w:hint="eastAsia" w:ascii="宋体" w:hAnsi="宋体"/>
          <w:snapToGrid w:val="0"/>
          <w:spacing w:val="-2"/>
          <w:sz w:val="21"/>
          <w:szCs w:val="21"/>
        </w:rPr>
        <w:t>单极纯切</w:t>
      </w:r>
      <w:r>
        <w:rPr>
          <w:rFonts w:hint="eastAsia" w:ascii="宋体" w:hAnsi="宋体"/>
          <w:snapToGrid w:val="0"/>
          <w:sz w:val="21"/>
          <w:szCs w:val="21"/>
        </w:rPr>
        <w:t>：</w:t>
      </w:r>
      <w:r>
        <w:rPr>
          <w:rFonts w:hint="eastAsia" w:ascii="宋体"/>
          <w:sz w:val="21"/>
          <w:szCs w:val="21"/>
        </w:rPr>
        <w:t>额定功率（额定负载）  350 W（500Ω）。</w:t>
      </w:r>
    </w:p>
    <w:p>
      <w:pPr>
        <w:numPr>
          <w:ilvl w:val="0"/>
          <w:numId w:val="1"/>
        </w:numPr>
        <w:tabs>
          <w:tab w:val="left" w:pos="540"/>
        </w:tabs>
        <w:spacing w:line="340" w:lineRule="exact"/>
        <w:ind w:left="357" w:hanging="357"/>
        <w:rPr>
          <w:rFonts w:hint="eastAsia" w:ascii="宋体" w:hAnsi="宋体"/>
          <w:bCs/>
          <w:spacing w:val="14"/>
          <w:sz w:val="21"/>
          <w:szCs w:val="21"/>
        </w:rPr>
      </w:pPr>
      <w:r>
        <w:rPr>
          <w:rFonts w:hint="eastAsia" w:ascii="宋体" w:hAnsi="宋体"/>
          <w:snapToGrid w:val="0"/>
          <w:spacing w:val="-2"/>
          <w:sz w:val="21"/>
          <w:szCs w:val="21"/>
        </w:rPr>
        <w:t>混切1：2</w:t>
      </w:r>
      <w:r>
        <w:rPr>
          <w:rFonts w:hint="eastAsia" w:ascii="宋体"/>
          <w:sz w:val="21"/>
          <w:szCs w:val="21"/>
        </w:rPr>
        <w:t xml:space="preserve">50 W（500Ω）； </w:t>
      </w:r>
      <w:r>
        <w:rPr>
          <w:rFonts w:hint="eastAsia" w:ascii="宋体" w:hAnsi="宋体"/>
          <w:snapToGrid w:val="0"/>
          <w:spacing w:val="-2"/>
          <w:sz w:val="21"/>
          <w:szCs w:val="21"/>
        </w:rPr>
        <w:t>混切2：20</w:t>
      </w:r>
      <w:r>
        <w:rPr>
          <w:rFonts w:hint="eastAsia" w:ascii="宋体"/>
          <w:sz w:val="21"/>
          <w:szCs w:val="21"/>
        </w:rPr>
        <w:t>0 W（500Ω）；</w:t>
      </w:r>
      <w:r>
        <w:rPr>
          <w:rFonts w:hint="eastAsia" w:ascii="宋体" w:hAnsi="宋体"/>
          <w:snapToGrid w:val="0"/>
          <w:spacing w:val="-2"/>
          <w:sz w:val="21"/>
          <w:szCs w:val="21"/>
        </w:rPr>
        <w:t>混切3：12</w:t>
      </w:r>
      <w:r>
        <w:rPr>
          <w:rFonts w:hint="eastAsia" w:ascii="宋体"/>
          <w:sz w:val="21"/>
          <w:szCs w:val="21"/>
        </w:rPr>
        <w:t>0 W（500Ω）。</w:t>
      </w:r>
    </w:p>
    <w:p>
      <w:pPr>
        <w:numPr>
          <w:ilvl w:val="0"/>
          <w:numId w:val="1"/>
        </w:numPr>
        <w:tabs>
          <w:tab w:val="left" w:pos="540"/>
        </w:tabs>
        <w:spacing w:line="340" w:lineRule="exact"/>
        <w:ind w:left="357" w:hanging="357"/>
        <w:rPr>
          <w:rFonts w:ascii="宋体" w:hAnsi="宋体"/>
          <w:bCs/>
          <w:spacing w:val="14"/>
          <w:sz w:val="21"/>
          <w:szCs w:val="21"/>
        </w:rPr>
      </w:pPr>
      <w:r>
        <w:rPr>
          <w:rFonts w:hint="eastAsia" w:ascii="宋体" w:hAnsi="宋体"/>
          <w:snapToGrid w:val="0"/>
          <w:spacing w:val="-2"/>
          <w:sz w:val="21"/>
          <w:szCs w:val="21"/>
        </w:rPr>
        <w:t>单极凝：12</w:t>
      </w:r>
      <w:r>
        <w:rPr>
          <w:rFonts w:hint="eastAsia" w:ascii="宋体"/>
          <w:sz w:val="21"/>
          <w:szCs w:val="21"/>
        </w:rPr>
        <w:t xml:space="preserve">0 W（500Ω）； </w:t>
      </w:r>
      <w:r>
        <w:rPr>
          <w:rFonts w:hint="eastAsia" w:ascii="宋体" w:hAnsi="宋体"/>
          <w:snapToGrid w:val="0"/>
          <w:spacing w:val="-2"/>
          <w:sz w:val="21"/>
          <w:szCs w:val="21"/>
        </w:rPr>
        <w:t>双极凝：50</w:t>
      </w:r>
      <w:r>
        <w:rPr>
          <w:rFonts w:hint="eastAsia" w:ascii="宋体"/>
          <w:sz w:val="21"/>
          <w:szCs w:val="21"/>
        </w:rPr>
        <w:t xml:space="preserve"> W（100Ω）。</w:t>
      </w:r>
    </w:p>
    <w:p>
      <w:pPr>
        <w:numPr>
          <w:ilvl w:val="0"/>
          <w:numId w:val="1"/>
        </w:numPr>
        <w:tabs>
          <w:tab w:val="left" w:pos="540"/>
        </w:tabs>
        <w:spacing w:line="340" w:lineRule="exact"/>
        <w:ind w:left="357" w:hanging="357"/>
        <w:rPr>
          <w:rFonts w:hint="eastAsia" w:ascii="宋体" w:hAnsi="宋体"/>
          <w:spacing w:val="14"/>
          <w:sz w:val="21"/>
          <w:szCs w:val="21"/>
        </w:rPr>
      </w:pPr>
      <w:r>
        <w:rPr>
          <w:rFonts w:hint="eastAsia"/>
          <w:sz w:val="21"/>
          <w:szCs w:val="21"/>
        </w:rPr>
        <w:t>采用三路输出方式：单极手控输出、单极脚控输出和双极脚控凝输出。</w:t>
      </w:r>
    </w:p>
    <w:p>
      <w:pPr>
        <w:numPr>
          <w:ilvl w:val="0"/>
          <w:numId w:val="1"/>
        </w:numPr>
        <w:tabs>
          <w:tab w:val="left" w:pos="540"/>
        </w:tabs>
        <w:spacing w:line="340" w:lineRule="exact"/>
        <w:ind w:left="357" w:hanging="357"/>
        <w:rPr>
          <w:rFonts w:ascii="宋体" w:hAnsi="宋体"/>
          <w:bCs/>
          <w:spacing w:val="14"/>
          <w:sz w:val="21"/>
          <w:szCs w:val="21"/>
        </w:rPr>
      </w:pPr>
      <w:r>
        <w:rPr>
          <w:rFonts w:hint="eastAsia"/>
          <w:sz w:val="21"/>
          <w:szCs w:val="21"/>
        </w:rPr>
        <w:t>采用CPU控制，记忆上次手术时最佳功率，当再次开机时可复现上次功率设定值。</w:t>
      </w:r>
    </w:p>
    <w:p>
      <w:pPr>
        <w:numPr>
          <w:ilvl w:val="0"/>
          <w:numId w:val="1"/>
        </w:numPr>
        <w:tabs>
          <w:tab w:val="left" w:pos="540"/>
        </w:tabs>
        <w:spacing w:line="340" w:lineRule="exact"/>
        <w:ind w:left="357" w:hanging="357"/>
        <w:rPr>
          <w:rFonts w:hint="eastAsia" w:ascii="宋体" w:hAnsi="宋体"/>
          <w:b w:val="0"/>
          <w:bCs/>
          <w:spacing w:val="14"/>
          <w:sz w:val="21"/>
          <w:szCs w:val="21"/>
        </w:rPr>
      </w:pPr>
      <w:r>
        <w:rPr>
          <w:rFonts w:hint="eastAsia" w:ascii="宋体" w:hAnsi="宋体"/>
          <w:b w:val="0"/>
          <w:bCs/>
          <w:spacing w:val="8"/>
          <w:sz w:val="21"/>
          <w:szCs w:val="21"/>
        </w:rPr>
        <w:t>保护：本机具有开路、短路、过功率、过电流自动保护功能</w:t>
      </w:r>
      <w:r>
        <w:rPr>
          <w:rFonts w:hint="eastAsia" w:ascii="宋体" w:hAnsi="宋体"/>
          <w:b w:val="0"/>
          <w:bCs/>
          <w:sz w:val="21"/>
          <w:szCs w:val="21"/>
        </w:rPr>
        <w:t>。</w:t>
      </w:r>
    </w:p>
    <w:p>
      <w:pPr>
        <w:numPr>
          <w:ilvl w:val="0"/>
          <w:numId w:val="1"/>
        </w:numPr>
        <w:tabs>
          <w:tab w:val="left" w:pos="540"/>
        </w:tabs>
        <w:spacing w:line="340" w:lineRule="exact"/>
        <w:ind w:left="357" w:hanging="357"/>
        <w:rPr>
          <w:rFonts w:hint="eastAsia" w:ascii="宋体" w:hAnsi="宋体"/>
          <w:b w:val="0"/>
          <w:bCs/>
          <w:spacing w:val="14"/>
          <w:sz w:val="21"/>
          <w:szCs w:val="21"/>
        </w:rPr>
      </w:pPr>
      <w:r>
        <w:rPr>
          <w:rFonts w:hint="eastAsia"/>
          <w:b w:val="0"/>
          <w:bCs/>
          <w:sz w:val="21"/>
          <w:szCs w:val="21"/>
        </w:rPr>
        <w:t>采用断线自检技术，全程对极板连线进行检测，一旦发现断线情形，立即发出声光报警。</w:t>
      </w:r>
    </w:p>
    <w:p>
      <w:pPr>
        <w:numPr>
          <w:ilvl w:val="0"/>
          <w:numId w:val="1"/>
        </w:numPr>
        <w:tabs>
          <w:tab w:val="left" w:pos="540"/>
        </w:tabs>
        <w:spacing w:line="340" w:lineRule="exact"/>
        <w:ind w:left="357" w:hanging="357"/>
        <w:rPr>
          <w:rFonts w:hint="eastAsia" w:ascii="宋体" w:hAnsi="宋体"/>
          <w:b w:val="0"/>
          <w:bCs/>
          <w:spacing w:val="14"/>
          <w:sz w:val="21"/>
          <w:szCs w:val="21"/>
        </w:rPr>
      </w:pPr>
      <w:r>
        <w:rPr>
          <w:rFonts w:hint="eastAsia"/>
          <w:b w:val="0"/>
          <w:bCs/>
          <w:sz w:val="21"/>
          <w:szCs w:val="21"/>
        </w:rPr>
        <w:t>中性极板检测系统：单片极板模式采用连续性检测器，双片极板模式，系统自动检测极板与患者接触质量并以排灯显示，若接触质量低于设定值，会有声光报警并切断电刀输出，确保安全。</w:t>
      </w:r>
    </w:p>
    <w:p>
      <w:pPr>
        <w:numPr>
          <w:ilvl w:val="0"/>
          <w:numId w:val="1"/>
        </w:numPr>
        <w:tabs>
          <w:tab w:val="left" w:pos="540"/>
        </w:tabs>
        <w:spacing w:line="340" w:lineRule="exact"/>
        <w:ind w:left="357" w:hanging="357"/>
        <w:rPr>
          <w:rFonts w:hint="eastAsia" w:ascii="宋体" w:hAnsi="宋体"/>
          <w:b w:val="0"/>
          <w:bCs/>
          <w:spacing w:val="14"/>
          <w:sz w:val="21"/>
          <w:szCs w:val="21"/>
        </w:rPr>
      </w:pPr>
      <w:r>
        <w:rPr>
          <w:rFonts w:hint="eastAsia"/>
          <w:b w:val="0"/>
          <w:bCs/>
          <w:sz w:val="21"/>
          <w:szCs w:val="21"/>
        </w:rPr>
        <w:t>允许连续使用，允许长时间开路和短路。</w:t>
      </w:r>
    </w:p>
    <w:p>
      <w:pPr>
        <w:numPr>
          <w:ilvl w:val="0"/>
          <w:numId w:val="1"/>
        </w:numPr>
        <w:tabs>
          <w:tab w:val="left" w:pos="540"/>
        </w:tabs>
        <w:spacing w:line="340" w:lineRule="exact"/>
        <w:ind w:left="357" w:hanging="357"/>
        <w:rPr>
          <w:rFonts w:hint="eastAsia" w:ascii="宋体" w:hAnsi="宋体"/>
          <w:bCs/>
          <w:spacing w:val="14"/>
          <w:sz w:val="21"/>
          <w:szCs w:val="21"/>
        </w:rPr>
      </w:pPr>
      <w:r>
        <w:rPr>
          <w:rFonts w:hint="eastAsia" w:ascii="宋体" w:hAnsi="宋体"/>
          <w:spacing w:val="8"/>
          <w:sz w:val="21"/>
          <w:szCs w:val="21"/>
        </w:rPr>
        <w:t>冷却方式：自然冷却，无风扇。</w:t>
      </w:r>
    </w:p>
    <w:p>
      <w:pPr>
        <w:numPr>
          <w:ilvl w:val="0"/>
          <w:numId w:val="1"/>
        </w:numPr>
        <w:tabs>
          <w:tab w:val="left" w:pos="540"/>
        </w:tabs>
        <w:spacing w:line="340" w:lineRule="exact"/>
        <w:ind w:left="357" w:hanging="357"/>
        <w:rPr>
          <w:rFonts w:hint="eastAsia" w:ascii="宋体" w:hAnsi="宋体"/>
          <w:bCs/>
          <w:spacing w:val="14"/>
          <w:sz w:val="21"/>
          <w:szCs w:val="21"/>
        </w:rPr>
      </w:pPr>
      <w:r>
        <w:rPr>
          <w:rFonts w:hint="eastAsia"/>
          <w:sz w:val="21"/>
          <w:szCs w:val="21"/>
        </w:rPr>
        <w:t>可选用附件</w:t>
      </w:r>
      <w:r>
        <w:rPr>
          <w:rFonts w:hint="eastAsia"/>
          <w:spacing w:val="-40"/>
          <w:sz w:val="21"/>
          <w:szCs w:val="21"/>
        </w:rPr>
        <w:t>（</w:t>
      </w:r>
      <w:r>
        <w:rPr>
          <w:spacing w:val="-40"/>
          <w:sz w:val="21"/>
          <w:szCs w:val="21"/>
        </w:rPr>
        <w:t xml:space="preserve">    </w:t>
      </w:r>
      <w:r>
        <w:rPr>
          <w:rFonts w:hint="eastAsia"/>
          <w:sz w:val="21"/>
          <w:szCs w:val="21"/>
        </w:rPr>
        <w:t>各种中性电极、普通手术电极、密封手术电极、可高温消毒手术附件等</w:t>
      </w:r>
      <w:r>
        <w:rPr>
          <w:rFonts w:hint="eastAsia"/>
          <w:spacing w:val="-58"/>
          <w:sz w:val="21"/>
          <w:szCs w:val="21"/>
        </w:rPr>
        <w:t>），</w:t>
      </w:r>
      <w:r>
        <w:rPr>
          <w:rFonts w:hint="eastAsia"/>
          <w:sz w:val="21"/>
          <w:szCs w:val="21"/>
        </w:rPr>
        <w:t>适应各种手术需求。</w:t>
      </w:r>
    </w:p>
    <w:p>
      <w:pPr>
        <w:numPr>
          <w:ilvl w:val="0"/>
          <w:numId w:val="1"/>
        </w:numPr>
        <w:tabs>
          <w:tab w:val="left" w:pos="540"/>
        </w:tabs>
        <w:spacing w:line="340" w:lineRule="exact"/>
        <w:ind w:left="357" w:hanging="357"/>
        <w:rPr>
          <w:rFonts w:hint="eastAsia" w:ascii="宋体" w:hAnsi="宋体"/>
          <w:bCs/>
          <w:spacing w:val="14"/>
          <w:sz w:val="21"/>
          <w:szCs w:val="21"/>
        </w:rPr>
      </w:pPr>
      <w:r>
        <w:rPr>
          <w:rFonts w:hint="eastAsia"/>
          <w:b w:val="0"/>
          <w:bCs/>
          <w:sz w:val="21"/>
          <w:szCs w:val="21"/>
        </w:rPr>
        <w:t>输出功率稳定（有闭环控制）</w:t>
      </w:r>
      <w:r>
        <w:rPr>
          <w:rFonts w:hint="eastAsia"/>
          <w:sz w:val="21"/>
          <w:szCs w:val="21"/>
        </w:rPr>
        <w:t>。</w:t>
      </w:r>
    </w:p>
    <w:p>
      <w:pPr>
        <w:numPr>
          <w:ilvl w:val="0"/>
          <w:numId w:val="1"/>
        </w:numPr>
        <w:tabs>
          <w:tab w:val="left" w:pos="540"/>
        </w:tabs>
        <w:spacing w:line="340" w:lineRule="exact"/>
        <w:ind w:left="357" w:hanging="357"/>
        <w:rPr>
          <w:rFonts w:hint="eastAsia"/>
          <w:sz w:val="21"/>
          <w:szCs w:val="21"/>
        </w:rPr>
      </w:pPr>
      <w:r>
        <w:rPr>
          <w:rFonts w:hint="eastAsia" w:ascii="宋体" w:hAnsi="宋体"/>
          <w:spacing w:val="8"/>
          <w:sz w:val="21"/>
          <w:szCs w:val="21"/>
        </w:rPr>
        <w:t>安全指标符合国家标准《</w:t>
      </w:r>
      <w:r>
        <w:rPr>
          <w:rFonts w:ascii="宋体" w:hAnsi="宋体"/>
          <w:spacing w:val="8"/>
          <w:sz w:val="21"/>
          <w:szCs w:val="21"/>
        </w:rPr>
        <w:t>GB9706</w:t>
      </w:r>
      <w:r>
        <w:rPr>
          <w:rFonts w:hint="eastAsia" w:ascii="宋体" w:hAnsi="宋体"/>
          <w:spacing w:val="8"/>
          <w:sz w:val="21"/>
          <w:szCs w:val="21"/>
        </w:rPr>
        <w:t>.</w:t>
      </w:r>
      <w:r>
        <w:rPr>
          <w:rFonts w:ascii="宋体" w:hAnsi="宋体"/>
          <w:spacing w:val="8"/>
          <w:sz w:val="21"/>
          <w:szCs w:val="21"/>
        </w:rPr>
        <w:t>1</w:t>
      </w:r>
      <w:r>
        <w:rPr>
          <w:rFonts w:hint="eastAsia" w:ascii="宋体" w:hAnsi="宋体"/>
          <w:spacing w:val="8"/>
          <w:sz w:val="21"/>
          <w:szCs w:val="21"/>
        </w:rPr>
        <w:t>医用电气设备第一部分：安全通用要求》及《</w:t>
      </w:r>
      <w:r>
        <w:rPr>
          <w:rFonts w:ascii="宋体" w:hAnsi="宋体"/>
          <w:spacing w:val="8"/>
          <w:sz w:val="21"/>
          <w:szCs w:val="21"/>
        </w:rPr>
        <w:t>GB9706</w:t>
      </w:r>
      <w:r>
        <w:rPr>
          <w:rFonts w:hint="eastAsia" w:ascii="宋体" w:hAnsi="宋体"/>
          <w:spacing w:val="8"/>
          <w:sz w:val="21"/>
          <w:szCs w:val="21"/>
        </w:rPr>
        <w:t>.</w:t>
      </w:r>
      <w:r>
        <w:rPr>
          <w:rFonts w:ascii="宋体" w:hAnsi="宋体"/>
          <w:spacing w:val="8"/>
          <w:sz w:val="21"/>
          <w:szCs w:val="21"/>
        </w:rPr>
        <w:t>4</w:t>
      </w:r>
      <w:r>
        <w:rPr>
          <w:rFonts w:hint="eastAsia" w:ascii="宋体" w:hAnsi="宋体"/>
          <w:spacing w:val="8"/>
          <w:sz w:val="21"/>
          <w:szCs w:val="21"/>
        </w:rPr>
        <w:t>医用电气设备 高</w:t>
      </w:r>
      <w:r>
        <w:rPr>
          <w:rFonts w:hint="eastAsia"/>
          <w:sz w:val="21"/>
          <w:szCs w:val="21"/>
        </w:rPr>
        <w:t>频手术设备专用安全要求》。</w:t>
      </w:r>
    </w:p>
    <w:p>
      <w:pPr>
        <w:numPr>
          <w:ilvl w:val="0"/>
          <w:numId w:val="1"/>
        </w:numPr>
        <w:tabs>
          <w:tab w:val="left" w:pos="540"/>
        </w:tabs>
        <w:spacing w:line="340" w:lineRule="exact"/>
        <w:ind w:left="357" w:hanging="357"/>
        <w:rPr>
          <w:rFonts w:hint="eastAsia"/>
          <w:sz w:val="21"/>
          <w:szCs w:val="21"/>
        </w:rPr>
      </w:pPr>
      <w:r>
        <w:rPr>
          <w:rFonts w:hint="eastAsia"/>
          <w:sz w:val="21"/>
          <w:szCs w:val="21"/>
        </w:rPr>
        <w:t>供电电源：</w:t>
      </w:r>
      <w:r>
        <w:rPr>
          <w:rFonts w:hint="eastAsia"/>
          <w:sz w:val="21"/>
          <w:szCs w:val="21"/>
        </w:rPr>
        <w:tab/>
      </w:r>
      <w:r>
        <w:rPr>
          <w:rFonts w:hint="eastAsia"/>
          <w:sz w:val="21"/>
          <w:szCs w:val="21"/>
        </w:rPr>
        <w:t>单相AC220V±22 V，50Hz±1 Hz，≤3.5A。</w:t>
      </w:r>
    </w:p>
    <w:p>
      <w:pPr>
        <w:numPr>
          <w:ilvl w:val="0"/>
          <w:numId w:val="1"/>
        </w:numPr>
        <w:tabs>
          <w:tab w:val="left" w:pos="540"/>
        </w:tabs>
        <w:spacing w:line="340" w:lineRule="exact"/>
        <w:ind w:left="357" w:hanging="357"/>
        <w:rPr>
          <w:rFonts w:hint="eastAsia"/>
          <w:sz w:val="21"/>
          <w:szCs w:val="21"/>
        </w:rPr>
      </w:pPr>
      <w:r>
        <w:rPr>
          <w:rFonts w:hint="eastAsia"/>
          <w:sz w:val="21"/>
          <w:szCs w:val="21"/>
        </w:rPr>
        <w:t>主机尺寸：≤456mm（D）×382mm（W）×186mm（H）。</w:t>
      </w:r>
    </w:p>
    <w:p>
      <w:pPr>
        <w:numPr>
          <w:ilvl w:val="0"/>
          <w:numId w:val="1"/>
        </w:numPr>
        <w:tabs>
          <w:tab w:val="left" w:pos="540"/>
        </w:tabs>
        <w:spacing w:line="340" w:lineRule="exact"/>
        <w:ind w:left="357" w:hanging="357"/>
        <w:rPr>
          <w:rFonts w:hint="eastAsia"/>
          <w:sz w:val="21"/>
          <w:szCs w:val="21"/>
        </w:rPr>
      </w:pPr>
      <w:r>
        <w:rPr>
          <w:rFonts w:hint="eastAsia"/>
          <w:sz w:val="21"/>
          <w:szCs w:val="21"/>
        </w:rPr>
        <w:t>主机净重：</w:t>
      </w:r>
      <w:r>
        <w:rPr>
          <w:rFonts w:hint="eastAsia"/>
          <w:sz w:val="21"/>
          <w:szCs w:val="21"/>
        </w:rPr>
        <w:tab/>
      </w:r>
      <w:r>
        <w:rPr>
          <w:rFonts w:hint="eastAsia"/>
          <w:sz w:val="21"/>
          <w:szCs w:val="21"/>
        </w:rPr>
        <w:t>≤11.5kg。</w:t>
      </w:r>
    </w:p>
    <w:p>
      <w:pPr>
        <w:numPr>
          <w:ilvl w:val="0"/>
          <w:numId w:val="1"/>
        </w:numPr>
        <w:tabs>
          <w:tab w:val="left" w:pos="540"/>
        </w:tabs>
        <w:spacing w:line="340" w:lineRule="exact"/>
        <w:ind w:left="357" w:hanging="357"/>
        <w:rPr>
          <w:spacing w:val="14"/>
          <w:sz w:val="21"/>
          <w:szCs w:val="21"/>
        </w:rPr>
      </w:pPr>
      <w:r>
        <w:rPr>
          <w:rFonts w:hint="eastAsia"/>
          <w:sz w:val="21"/>
          <w:szCs w:val="21"/>
        </w:rPr>
        <w:t>运行条件：环境温度：5℃～40℃，相对湿度：≤80%RH，大气压力：86.0kPa～106.</w:t>
      </w:r>
    </w:p>
    <w:p>
      <w:pPr>
        <w:rPr>
          <w:rFonts w:hint="eastAsia"/>
        </w:rPr>
      </w:pPr>
    </w:p>
    <w:p>
      <w:pPr>
        <w:rPr>
          <w:rFonts w:hint="eastAsia"/>
        </w:rPr>
      </w:pPr>
    </w:p>
    <w:p>
      <w:pP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pPr>
      <w: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t>包二、心电监护仪技术参数</w:t>
      </w:r>
    </w:p>
    <w:p>
      <w:pPr>
        <w:autoSpaceDE w:val="0"/>
        <w:autoSpaceDN w:val="0"/>
        <w:adjustRightInd w:val="0"/>
        <w:spacing w:line="360" w:lineRule="auto"/>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1：监护仪外形结构：</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 xml:space="preserve">*1.1：床旁便携监护仪,配置提手,方便移动 </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*1.2：&gt;=10.4英寸彩色LED背光液晶显示屏，彩色高分辨率达800*600</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1.3：整机无风扇设计，为科室提供更安静的治疗环境，减小临床交叉感染的风险，出具厂家声明证明材料</w:t>
      </w:r>
    </w:p>
    <w:p>
      <w:pPr>
        <w:autoSpaceDE w:val="0"/>
        <w:autoSpaceDN w:val="0"/>
        <w:adjustRightInd w:val="0"/>
        <w:spacing w:line="360" w:lineRule="auto"/>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2：监测参数：</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2.1：配置3/5导心电（ECG），呼吸（Resp），无创血压（NIBP），血氧饱和度（SpO2），灌注指数（PI），脉搏（PR）和双通道体温（Temp）参数监测</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 xml:space="preserve">2.2：优异的多导同步心电信号分析心电监测技术 </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2.3：心电波形扫描速度支持6.25mm/s、12.5 mm/s、25 mm/s、50 mm/s,提供四种选项截图证明材料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2.4：心电增益标尺包括：×0.125，×0.25, ×0.5，×1，×2，×4和自动选项</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2.5：ST段测量值单位支持mV和mm两种设置，提供界面截图证明材料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*2.6：提供窗口支持心脏下壁，侧壁和前壁对应多个ST片段和ST参数的同屏实时显示，提供参考片段和实时片段的对比查看，提供界面截图证明材料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2.7：支持不少于20种心律失常分析,包括房颤分析,并列举具体的心律失常种类，满足心电监护临床应用，提供界面截图证明材料</w:t>
      </w:r>
    </w:p>
    <w:p>
      <w:pPr>
        <w:autoSpaceDE w:val="0"/>
        <w:autoSpaceDN w:val="0"/>
        <w:adjustRightInd w:val="0"/>
        <w:spacing w:line="360" w:lineRule="auto"/>
        <w:ind w:firstLine="420" w:firstLine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2.8：支持升级提供过去24小时心电概览报告查看与打印，包括心率统计结果，心律失常统计结果，ST统计和QT/QTc统计结果.提供证明材料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*2.9：提供QT和QTc的实时监测，提供界面截图证明材料和注册证面材料，适用于成人，小儿和新生儿</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2.10：采用专利的抗运动和弱灌注血氧技术，并提供专利证明材料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2.11：提供SpO2,PR和PI参数的实时监测</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2.12：支持指套式血氧探头，IPX7防水等级，支持液体浸泡消毒和清洁</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*2.13：无创血压监测提供手动，自动，连续和序列4种测量模式，满足临床应用，并提供截图证明材料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2.14：无创血压监测适用于成人，小儿和新生儿，通过三类注册认证</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2.14：无创血压成人测量范围：收缩压25~290mmHg，舒张压10~250mmHg，平均压15~260mmHg</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2.15：提供双通道体温和温差参数的监测, 并可根据需要更改体温通道标名，提供界面截图</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*2.16：支持升级有创压监测（含PPV），适用于成人，小儿和新生儿，通过国家三类注册认证</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 xml:space="preserve">2.17：支持升级CO模块，进行热稀释法心排的监测，提供注册证明材料 </w:t>
      </w:r>
    </w:p>
    <w:p>
      <w:pPr>
        <w:spacing w:line="360" w:lineRule="auto"/>
        <w:ind w:right="-512" w:rightChars="-244"/>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3：系统功能：</w:t>
      </w:r>
    </w:p>
    <w:p>
      <w:pPr>
        <w:spacing w:line="360" w:lineRule="auto"/>
        <w:ind w:left="420" w:leftChars="200" w:right="-512" w:rightChars="-244"/>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3.1：支持中/英文字符输入</w:t>
      </w:r>
    </w:p>
    <w:p>
      <w:pPr>
        <w:spacing w:line="360" w:lineRule="auto"/>
        <w:ind w:left="420" w:leftChars="200" w:right="-512" w:rightChars="-244"/>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3.2：提供一键操作实现报警限自动设置功能，根据病人个体的生命体征测量结果快速设定报警限值，提供证明材料</w:t>
      </w:r>
    </w:p>
    <w:p>
      <w:pPr>
        <w:spacing w:line="360" w:lineRule="auto"/>
        <w:ind w:left="420" w:leftChars="200" w:right="-512" w:rightChars="-244"/>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3.3：低功耗，可充电高能锂电池，锂电池支持供电不小于2小时</w:t>
      </w:r>
    </w:p>
    <w:p>
      <w:pPr>
        <w:pStyle w:val="9"/>
        <w:ind w:left="420" w:leftChars="20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3.4：电池内置插槽式固定，无螺丝固定，支持徒手快速拆卸维护与更换</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3.5：可选配3通道记录仪</w:t>
      </w:r>
    </w:p>
    <w:p>
      <w:pPr>
        <w:spacing w:line="360" w:lineRule="auto"/>
        <w:ind w:left="420" w:leftChars="20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3.6：：支持监护仪进入夜间模式，隐私模式，演示模式和待机模式，提供界面截图证明材料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3.7：支持升级临床评分系统，如MEWS（改良早期预警评分）或者NEWS（英国早期预警评分），提供证明材料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3.8：提供计算功能，包括肾功能计算</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3.9：提供计时器功能，支持开始计时，清除计时和设置功能，计时方向包括正计时和倒计时两种选择，提供截图证明材料</w:t>
      </w:r>
    </w:p>
    <w:p>
      <w:pPr>
        <w:autoSpaceDE w:val="0"/>
        <w:autoSpaceDN w:val="0"/>
        <w:adjustRightInd w:val="0"/>
        <w:spacing w:line="360" w:lineRule="auto"/>
        <w:ind w:left="420" w:leftChars="200"/>
        <w:jc w:val="left"/>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*3.10：支持日志功能导出，包括系统状态，故障，异常和技术报警，为设备科设备管理和维度提供支持，提供日志导出接口界面截图</w:t>
      </w:r>
    </w:p>
    <w:p>
      <w:pPr>
        <w:spacing w:line="360" w:lineRule="auto"/>
        <w:ind w:firstLine="210" w:firstLineChars="10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w:t>
      </w:r>
      <w:r>
        <w:rPr>
          <w:rFonts w:hint="eastAsia" w:cstheme="minorBidi"/>
          <w:b w:val="0"/>
          <w:bCs/>
          <w:kern w:val="2"/>
          <w:sz w:val="21"/>
          <w:szCs w:val="21"/>
          <w:lang w:val="en-US" w:eastAsia="zh-CN" w:bidi="ar-SA"/>
        </w:rPr>
        <w:t>：</w:t>
      </w:r>
      <w:r>
        <w:rPr>
          <w:rFonts w:hint="eastAsia" w:asciiTheme="minorHAnsi" w:hAnsiTheme="minorHAnsi" w:eastAsiaTheme="minorEastAsia" w:cstheme="minorBidi"/>
          <w:b w:val="0"/>
          <w:bCs/>
          <w:kern w:val="2"/>
          <w:sz w:val="21"/>
          <w:szCs w:val="21"/>
          <w:lang w:val="en-US" w:eastAsia="zh-CN" w:bidi="ar-SA"/>
        </w:rPr>
        <w:t>安全、认证与商务条件</w:t>
      </w:r>
    </w:p>
    <w:p>
      <w:pPr>
        <w:spacing w:line="360" w:lineRule="auto"/>
        <w:ind w:left="420" w:leftChars="20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4.1：监护仪制造厂家的注册资金不低于5000万元</w:t>
      </w:r>
    </w:p>
    <w:p>
      <w:pPr>
        <w:pStyle w:val="8"/>
        <w:adjustRightInd w:val="0"/>
        <w:spacing w:line="360" w:lineRule="auto"/>
        <w:ind w:left="420" w:leftChars="200" w:firstLine="0" w:firstLineChars="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*4.2：投标型号监护仪认证：通过国家三类注册，CE认证，FDA认证，提供证明材料</w:t>
      </w:r>
    </w:p>
    <w:p>
      <w:pPr>
        <w:pStyle w:val="8"/>
        <w:adjustRightInd w:val="0"/>
        <w:spacing w:line="360" w:lineRule="auto"/>
        <w:ind w:left="420" w:leftChars="200" w:firstLine="0" w:firstLineChars="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4.3：ECG参数监测电击防护等级为CF防除颤型，提供机器接口防护等级丝印照片证明材料。</w:t>
      </w:r>
    </w:p>
    <w:p>
      <w:pPr>
        <w:pStyle w:val="8"/>
        <w:adjustRightInd w:val="0"/>
        <w:spacing w:line="360" w:lineRule="auto"/>
        <w:ind w:left="420" w:leftChars="200" w:firstLine="0" w:firstLineChars="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*4.4：SpO2参数监测电击防护等级为CF防除颤型，提供机器接口防护等级丝印照片证明材料。</w:t>
      </w:r>
    </w:p>
    <w:p>
      <w:pPr>
        <w:pStyle w:val="8"/>
        <w:adjustRightInd w:val="0"/>
        <w:spacing w:line="360" w:lineRule="auto"/>
        <w:ind w:left="420" w:leftChars="200" w:firstLine="0" w:firstLineChars="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4.5：NIBP参数监测电击防护等级为CF防除颤型，提供机器接口防护等级丝印照片证明材料</w:t>
      </w:r>
    </w:p>
    <w:p>
      <w:pPr>
        <w:pStyle w:val="8"/>
        <w:adjustRightInd w:val="0"/>
        <w:spacing w:line="360" w:lineRule="auto"/>
        <w:ind w:left="420" w:leftChars="200" w:firstLine="0" w:firstLineChars="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4.6：Temp参数监测电击防护等级为CF防除颤型，提供机器接口防护等级丝印照片证明材料</w:t>
      </w:r>
    </w:p>
    <w:p>
      <w:pPr>
        <w:ind w:left="420" w:leftChars="200" w:firstLine="0" w:firstLineChars="0"/>
        <w:rPr>
          <w:rFonts w:hint="eastAsia" w:asciiTheme="minorHAnsi" w:hAnsiTheme="minorHAnsi" w:eastAsiaTheme="minorEastAsia" w:cstheme="minorBidi"/>
          <w:b w:val="0"/>
          <w:bCs/>
          <w:kern w:val="2"/>
          <w:sz w:val="21"/>
          <w:szCs w:val="21"/>
          <w:lang w:val="en-US" w:eastAsia="zh-CN" w:bidi="ar-SA"/>
        </w:rPr>
      </w:pPr>
      <w:r>
        <w:rPr>
          <w:rFonts w:hint="eastAsia" w:asciiTheme="minorHAnsi" w:hAnsiTheme="minorHAnsi" w:eastAsiaTheme="minorEastAsia" w:cstheme="minorBidi"/>
          <w:b w:val="0"/>
          <w:bCs/>
          <w:kern w:val="2"/>
          <w:sz w:val="21"/>
          <w:szCs w:val="21"/>
          <w:lang w:val="en-US" w:eastAsia="zh-CN" w:bidi="ar-SA"/>
        </w:rPr>
        <w:t>4.</w:t>
      </w:r>
      <w:r>
        <w:rPr>
          <w:rFonts w:hint="eastAsia" w:cstheme="minorBidi"/>
          <w:b w:val="0"/>
          <w:bCs/>
          <w:kern w:val="2"/>
          <w:sz w:val="21"/>
          <w:szCs w:val="21"/>
          <w:lang w:val="en-US" w:eastAsia="zh-CN" w:bidi="ar-SA"/>
        </w:rPr>
        <w:t>7</w:t>
      </w:r>
      <w:r>
        <w:rPr>
          <w:rFonts w:hint="eastAsia" w:asciiTheme="minorHAnsi" w:hAnsiTheme="minorHAnsi" w:eastAsiaTheme="minorEastAsia" w:cstheme="minorBidi"/>
          <w:b w:val="0"/>
          <w:bCs/>
          <w:kern w:val="2"/>
          <w:sz w:val="21"/>
          <w:szCs w:val="21"/>
          <w:lang w:val="en-US" w:eastAsia="zh-CN" w:bidi="ar-SA"/>
        </w:rPr>
        <w:t>：整机售后服务质保不低于3年，具有专业的售后服务团队，提供400电话保证7*24小时售后服务。</w:t>
      </w:r>
    </w:p>
    <w:p>
      <w:pPr>
        <w:ind w:firstLine="321" w:firstLineChars="100"/>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pPr>
    </w:p>
    <w:p>
      <w:pPr>
        <w:ind w:firstLine="321" w:firstLineChars="100"/>
        <w:rPr>
          <w:rFonts w:hint="eastAsia" w:ascii="仿宋_GB2312" w:hAnsi="仿宋_GB2312" w:eastAsia="仿宋_GB2312" w:cs="仿宋_GB2312"/>
          <w:b/>
          <w:bCs/>
          <w:sz w:val="32"/>
          <w:szCs w:val="32"/>
          <w:vertAlign w:val="baseline"/>
          <w:lang w:eastAsia="zh-CN"/>
        </w:rPr>
      </w:pPr>
      <w: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t>包三、</w:t>
      </w:r>
      <w:r>
        <w:rPr>
          <w:rFonts w:hint="eastAsia" w:ascii="仿宋_GB2312" w:hAnsi="仿宋_GB2312" w:eastAsia="仿宋_GB2312" w:cs="仿宋_GB2312"/>
          <w:b/>
          <w:bCs/>
          <w:sz w:val="32"/>
          <w:szCs w:val="32"/>
          <w:vertAlign w:val="baseline"/>
          <w:lang w:eastAsia="zh-CN"/>
        </w:rPr>
        <w:t>低温等离子体手术系统技术参数</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一、产品名称：低温等离子体多功能手术系统</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二、临床使用范围：支气管狭窄消融术、支气管出血、支气管肿瘤的圈切、钳夹摘除</w:t>
      </w:r>
    </w:p>
    <w:p>
      <w:pPr>
        <w:tabs>
          <w:tab w:val="left" w:pos="6300"/>
        </w:tabs>
        <w:adjustRightInd w:val="0"/>
        <w:snapToGrid w:val="0"/>
        <w:spacing w:line="480" w:lineRule="auto"/>
        <w:ind w:firstLine="1837" w:firstLineChars="875"/>
        <w:jc w:val="left"/>
        <w:outlineLvl w:val="0"/>
        <w:rPr>
          <w:rFonts w:hint="eastAsia" w:ascii="宋体" w:hAnsi="宋体"/>
        </w:rPr>
      </w:pPr>
      <w:r>
        <w:rPr>
          <w:rFonts w:hint="eastAsia" w:ascii="宋体" w:hAnsi="宋体"/>
        </w:rPr>
        <w:t>及其它病变粘膜组织的治疗。</w:t>
      </w:r>
    </w:p>
    <w:p>
      <w:pPr>
        <w:adjustRightInd w:val="0"/>
        <w:snapToGrid w:val="0"/>
        <w:spacing w:line="480" w:lineRule="auto"/>
        <w:rPr>
          <w:rFonts w:hint="eastAsia" w:ascii="宋体" w:hAnsi="宋体"/>
          <w:b/>
        </w:rPr>
      </w:pPr>
      <w:r>
        <w:rPr>
          <w:rFonts w:hint="eastAsia" w:ascii="宋体" w:hAnsi="宋体"/>
          <w:b w:val="0"/>
          <w:bCs/>
        </w:rPr>
        <w:t>三、产品拥有CE认证证书。</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四、工作输出功率</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 xml:space="preserve">   消融功率：≥80W；切割功率：≥140W；</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 xml:space="preserve">   档位：消融、止血1~5档可调； 汽化、切割6~9档可调；</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 xml:space="preserve">   时间：消融、止血0~9秒可调,  工作时有声音提示。</w:t>
      </w:r>
    </w:p>
    <w:p>
      <w:pPr>
        <w:tabs>
          <w:tab w:val="left" w:pos="6300"/>
        </w:tabs>
        <w:adjustRightInd w:val="0"/>
        <w:snapToGrid w:val="0"/>
        <w:spacing w:line="480" w:lineRule="auto"/>
        <w:jc w:val="left"/>
        <w:outlineLvl w:val="0"/>
        <w:rPr>
          <w:rFonts w:hint="eastAsia" w:ascii="宋体" w:hAnsi="宋体"/>
        </w:rPr>
      </w:pPr>
      <w:r>
        <w:rPr>
          <w:rFonts w:hint="eastAsia" w:ascii="宋体" w:hAnsi="宋体"/>
        </w:rPr>
        <w:t>★五、工作温度：消融、止血温度40~70℃；汽化、切割温度60~80℃</w:t>
      </w:r>
    </w:p>
    <w:p>
      <w:pPr>
        <w:adjustRightInd w:val="0"/>
        <w:snapToGrid w:val="0"/>
        <w:spacing w:line="480" w:lineRule="auto"/>
        <w:rPr>
          <w:rFonts w:hint="eastAsia" w:ascii="宋体" w:hAnsi="宋体"/>
          <w:b w:val="0"/>
          <w:bCs/>
        </w:rPr>
      </w:pPr>
      <w:r>
        <w:rPr>
          <w:rFonts w:hint="eastAsia" w:ascii="宋体" w:hAnsi="宋体"/>
          <w:b w:val="0"/>
          <w:bCs/>
        </w:rPr>
        <w:t>六、主机具有自动监测功能和档位智能化深度控制系统：</w:t>
      </w:r>
    </w:p>
    <w:p>
      <w:pPr>
        <w:adjustRightInd w:val="0"/>
        <w:snapToGrid w:val="0"/>
        <w:spacing w:line="480" w:lineRule="auto"/>
        <w:ind w:left="474"/>
        <w:rPr>
          <w:rFonts w:hint="eastAsia" w:ascii="宋体" w:hAnsi="宋体"/>
        </w:rPr>
      </w:pPr>
      <w:r>
        <w:rPr>
          <w:rFonts w:hint="eastAsia" w:ascii="宋体" w:hAnsi="宋体"/>
        </w:rPr>
        <w:t>A. 自动识别血液、黏膜、肌肉组织；无碳化、无火花、无粘连；低温、准确、微创、不穿孔等特点。</w:t>
      </w:r>
    </w:p>
    <w:p>
      <w:pPr>
        <w:adjustRightInd w:val="0"/>
        <w:snapToGrid w:val="0"/>
        <w:spacing w:line="480" w:lineRule="auto"/>
        <w:ind w:left="474"/>
        <w:rPr>
          <w:rFonts w:hint="eastAsia" w:ascii="宋体" w:hAnsi="宋体"/>
        </w:rPr>
      </w:pPr>
      <w:r>
        <w:rPr>
          <w:rFonts w:hint="eastAsia" w:ascii="宋体" w:hAnsi="宋体"/>
        </w:rPr>
        <w:t>B. 对内窥镜影像无电磁辐射干扰，对CCD光学镜头没有热损伤。</w:t>
      </w:r>
    </w:p>
    <w:p>
      <w:pPr>
        <w:adjustRightInd w:val="0"/>
        <w:snapToGrid w:val="0"/>
        <w:spacing w:line="480" w:lineRule="auto"/>
        <w:ind w:left="474"/>
        <w:rPr>
          <w:rFonts w:hint="eastAsia" w:ascii="宋体" w:hAnsi="宋体"/>
        </w:rPr>
      </w:pPr>
      <w:r>
        <w:rPr>
          <w:rFonts w:hint="eastAsia" w:ascii="宋体" w:hAnsi="宋体"/>
        </w:rPr>
        <w:t>C. 智能档位深度控制，帮助医生准确控制治疗和切口深度，切割时主机根据组织血管丰富程度自动调整输出波形和漏电流控制住切口深度在0.5mm，凝血深度始终保持在1mm以内，使凝血更充分；使镜下治疗变得更彻底、更安全、恢复快、术后并发症少、操作更简单。</w:t>
      </w:r>
    </w:p>
    <w:p>
      <w:pPr>
        <w:tabs>
          <w:tab w:val="left" w:pos="6300"/>
        </w:tabs>
        <w:adjustRightInd w:val="0"/>
        <w:snapToGrid w:val="0"/>
        <w:spacing w:line="480" w:lineRule="auto"/>
        <w:ind w:left="420" w:leftChars="200"/>
        <w:jc w:val="left"/>
        <w:outlineLvl w:val="0"/>
        <w:rPr>
          <w:rFonts w:hint="eastAsia" w:ascii="宋体" w:hAnsi="宋体"/>
        </w:rPr>
      </w:pPr>
      <w:r>
        <w:rPr>
          <w:rFonts w:hint="eastAsia" w:ascii="宋体" w:hAnsi="宋体"/>
        </w:rPr>
        <w:t>D. 治疗后恢复时间快，同时对治疗器具不损伤，不产生耗材。</w:t>
      </w:r>
    </w:p>
    <w:tbl>
      <w:tblPr>
        <w:tblStyle w:val="6"/>
        <w:tblpPr w:leftFromText="180" w:rightFromText="180" w:vertAnchor="text" w:horzAnchor="margin" w:tblpXSpec="center" w:tblpY="46"/>
        <w:tblOverlap w:val="never"/>
        <w:tblW w:w="77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701"/>
        <w:gridCol w:w="396"/>
        <w:gridCol w:w="468"/>
        <w:gridCol w:w="800"/>
        <w:gridCol w:w="440"/>
        <w:gridCol w:w="731"/>
        <w:gridCol w:w="842"/>
        <w:gridCol w:w="11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trPr>
        <w:tc>
          <w:tcPr>
            <w:tcW w:w="1242" w:type="dxa"/>
            <w:vAlign w:val="center"/>
          </w:tcPr>
          <w:p>
            <w:pPr>
              <w:spacing w:line="360" w:lineRule="auto"/>
              <w:jc w:val="center"/>
              <w:rPr>
                <w:rFonts w:hint="eastAsia" w:ascii="宋体" w:hAnsi="宋体"/>
              </w:rPr>
            </w:pPr>
            <w:r>
              <w:rPr>
                <w:rFonts w:hint="eastAsia" w:ascii="宋体" w:hAnsi="宋体"/>
              </w:rPr>
              <w:t>电凝档位</w:t>
            </w:r>
          </w:p>
        </w:tc>
        <w:tc>
          <w:tcPr>
            <w:tcW w:w="1701" w:type="dxa"/>
            <w:vAlign w:val="center"/>
          </w:tcPr>
          <w:p>
            <w:pPr>
              <w:spacing w:line="360" w:lineRule="auto"/>
              <w:rPr>
                <w:rFonts w:hint="eastAsia" w:ascii="宋体" w:hAnsi="宋体"/>
              </w:rPr>
            </w:pPr>
            <w:r>
              <w:rPr>
                <w:rFonts w:hint="eastAsia" w:ascii="宋体" w:hAnsi="宋体"/>
              </w:rPr>
              <w:t>消融、电凝深度</w:t>
            </w:r>
          </w:p>
        </w:tc>
        <w:tc>
          <w:tcPr>
            <w:tcW w:w="396" w:type="dxa"/>
            <w:vMerge w:val="restart"/>
            <w:tcBorders>
              <w:top w:val="nil"/>
              <w:bottom w:val="nil"/>
            </w:tcBorders>
            <w:vAlign w:val="top"/>
          </w:tcPr>
          <w:p>
            <w:pPr>
              <w:spacing w:line="360" w:lineRule="auto"/>
              <w:jc w:val="center"/>
              <w:rPr>
                <w:rFonts w:hint="eastAsia" w:ascii="宋体" w:hAnsi="宋体"/>
              </w:rPr>
            </w:pPr>
          </w:p>
        </w:tc>
        <w:tc>
          <w:tcPr>
            <w:tcW w:w="1268" w:type="dxa"/>
            <w:gridSpan w:val="2"/>
            <w:vAlign w:val="center"/>
          </w:tcPr>
          <w:p>
            <w:pPr>
              <w:spacing w:line="360" w:lineRule="auto"/>
              <w:jc w:val="center"/>
              <w:rPr>
                <w:rFonts w:hint="eastAsia" w:ascii="宋体" w:hAnsi="宋体"/>
              </w:rPr>
            </w:pPr>
            <w:r>
              <w:rPr>
                <w:rFonts w:hint="eastAsia" w:ascii="宋体" w:hAnsi="宋体"/>
              </w:rPr>
              <w:t>切割档位</w:t>
            </w:r>
          </w:p>
        </w:tc>
        <w:tc>
          <w:tcPr>
            <w:tcW w:w="2013" w:type="dxa"/>
            <w:gridSpan w:val="3"/>
            <w:vAlign w:val="center"/>
          </w:tcPr>
          <w:p>
            <w:pPr>
              <w:spacing w:line="360" w:lineRule="auto"/>
              <w:jc w:val="center"/>
              <w:rPr>
                <w:rFonts w:hint="eastAsia" w:ascii="宋体" w:hAnsi="宋体"/>
              </w:rPr>
            </w:pPr>
            <w:r>
              <w:rPr>
                <w:rFonts w:hint="eastAsia" w:ascii="宋体" w:hAnsi="宋体"/>
              </w:rPr>
              <w:t>凝固深度</w:t>
            </w:r>
          </w:p>
        </w:tc>
        <w:tc>
          <w:tcPr>
            <w:tcW w:w="1101" w:type="dxa"/>
            <w:vAlign w:val="center"/>
          </w:tcPr>
          <w:p>
            <w:pPr>
              <w:spacing w:line="360" w:lineRule="auto"/>
              <w:jc w:val="center"/>
              <w:rPr>
                <w:rFonts w:hint="eastAsia" w:ascii="宋体" w:hAnsi="宋体"/>
              </w:rPr>
            </w:pPr>
            <w:r>
              <w:rPr>
                <w:rFonts w:hint="eastAsia" w:ascii="宋体" w:hAnsi="宋体"/>
              </w:rPr>
              <w:t>切割深度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trPr>
        <w:tc>
          <w:tcPr>
            <w:tcW w:w="1242" w:type="dxa"/>
            <w:vAlign w:val="center"/>
          </w:tcPr>
          <w:p>
            <w:pPr>
              <w:spacing w:line="360" w:lineRule="auto"/>
              <w:jc w:val="center"/>
              <w:rPr>
                <w:rFonts w:hint="eastAsia" w:ascii="宋体" w:hAnsi="宋体"/>
              </w:rPr>
            </w:pPr>
            <w:r>
              <w:rPr>
                <w:rFonts w:hint="eastAsia" w:ascii="宋体" w:hAnsi="宋体"/>
              </w:rPr>
              <w:t>5档</w:t>
            </w:r>
          </w:p>
        </w:tc>
        <w:tc>
          <w:tcPr>
            <w:tcW w:w="1701" w:type="dxa"/>
            <w:vAlign w:val="center"/>
          </w:tcPr>
          <w:p>
            <w:pPr>
              <w:spacing w:line="360" w:lineRule="auto"/>
              <w:jc w:val="center"/>
              <w:rPr>
                <w:rFonts w:hint="eastAsia" w:ascii="宋体" w:hAnsi="宋体"/>
              </w:rPr>
            </w:pPr>
            <w:r>
              <w:rPr>
                <w:rFonts w:hint="eastAsia" w:ascii="宋体" w:hAnsi="宋体"/>
              </w:rPr>
              <w:t>0.5mm</w:t>
            </w:r>
          </w:p>
        </w:tc>
        <w:tc>
          <w:tcPr>
            <w:tcW w:w="396" w:type="dxa"/>
            <w:vMerge w:val="continue"/>
            <w:tcBorders>
              <w:bottom w:val="nil"/>
            </w:tcBorders>
            <w:vAlign w:val="top"/>
          </w:tcPr>
          <w:p>
            <w:pPr>
              <w:spacing w:line="360" w:lineRule="auto"/>
              <w:jc w:val="center"/>
              <w:rPr>
                <w:rFonts w:hint="eastAsia" w:ascii="宋体" w:hAnsi="宋体"/>
              </w:rPr>
            </w:pPr>
          </w:p>
        </w:tc>
        <w:tc>
          <w:tcPr>
            <w:tcW w:w="468" w:type="dxa"/>
            <w:vMerge w:val="restart"/>
            <w:vAlign w:val="center"/>
          </w:tcPr>
          <w:p>
            <w:pPr>
              <w:spacing w:line="360" w:lineRule="auto"/>
              <w:jc w:val="center"/>
              <w:rPr>
                <w:rFonts w:hint="eastAsia" w:ascii="宋体" w:hAnsi="宋体"/>
              </w:rPr>
            </w:pPr>
            <w:r>
              <w:rPr>
                <w:rFonts w:hint="eastAsia" w:ascii="宋体" w:hAnsi="宋体"/>
              </w:rPr>
              <w:t>D</w:t>
            </w:r>
          </w:p>
          <w:p>
            <w:pPr>
              <w:spacing w:line="360" w:lineRule="auto"/>
              <w:jc w:val="center"/>
              <w:rPr>
                <w:rFonts w:hint="eastAsia" w:ascii="宋体" w:hAnsi="宋体"/>
              </w:rPr>
            </w:pPr>
            <w:r>
              <w:rPr>
                <w:rFonts w:hint="eastAsia" w:ascii="宋体" w:hAnsi="宋体"/>
              </w:rPr>
              <w:t>型</w:t>
            </w:r>
          </w:p>
        </w:tc>
        <w:tc>
          <w:tcPr>
            <w:tcW w:w="800" w:type="dxa"/>
            <w:vAlign w:val="center"/>
          </w:tcPr>
          <w:p>
            <w:pPr>
              <w:spacing w:line="360" w:lineRule="auto"/>
              <w:jc w:val="center"/>
              <w:rPr>
                <w:rFonts w:hint="eastAsia" w:ascii="宋体" w:hAnsi="宋体"/>
              </w:rPr>
            </w:pPr>
            <w:r>
              <w:rPr>
                <w:rFonts w:hint="eastAsia" w:ascii="宋体" w:hAnsi="宋体"/>
              </w:rPr>
              <w:t>9档</w:t>
            </w:r>
          </w:p>
        </w:tc>
        <w:tc>
          <w:tcPr>
            <w:tcW w:w="440" w:type="dxa"/>
            <w:vMerge w:val="restart"/>
            <w:vAlign w:val="center"/>
          </w:tcPr>
          <w:p>
            <w:pPr>
              <w:spacing w:line="360" w:lineRule="auto"/>
              <w:jc w:val="center"/>
              <w:rPr>
                <w:rFonts w:hint="eastAsia" w:ascii="宋体" w:hAnsi="宋体"/>
              </w:rPr>
            </w:pPr>
            <w:r>
              <w:rPr>
                <w:rFonts w:hint="eastAsia" w:ascii="宋体" w:hAnsi="宋体"/>
              </w:rPr>
              <w:t>C</w:t>
            </w:r>
          </w:p>
          <w:p>
            <w:pPr>
              <w:spacing w:line="360" w:lineRule="auto"/>
              <w:jc w:val="center"/>
              <w:rPr>
                <w:rFonts w:hint="eastAsia" w:ascii="宋体" w:hAnsi="宋体"/>
              </w:rPr>
            </w:pPr>
            <w:r>
              <w:rPr>
                <w:rFonts w:hint="eastAsia" w:ascii="宋体" w:hAnsi="宋体"/>
              </w:rPr>
              <w:t>型</w:t>
            </w:r>
          </w:p>
        </w:tc>
        <w:tc>
          <w:tcPr>
            <w:tcW w:w="731" w:type="dxa"/>
            <w:vAlign w:val="center"/>
          </w:tcPr>
          <w:p>
            <w:pPr>
              <w:spacing w:line="360" w:lineRule="auto"/>
              <w:jc w:val="center"/>
              <w:rPr>
                <w:rFonts w:hint="eastAsia" w:ascii="宋体" w:hAnsi="宋体"/>
              </w:rPr>
            </w:pPr>
            <w:r>
              <w:rPr>
                <w:rFonts w:hint="eastAsia" w:ascii="宋体" w:hAnsi="宋体"/>
              </w:rPr>
              <w:t>6档</w:t>
            </w:r>
          </w:p>
        </w:tc>
        <w:tc>
          <w:tcPr>
            <w:tcW w:w="842" w:type="dxa"/>
            <w:vAlign w:val="center"/>
          </w:tcPr>
          <w:p>
            <w:pPr>
              <w:spacing w:line="360" w:lineRule="auto"/>
              <w:jc w:val="center"/>
              <w:rPr>
                <w:rFonts w:hint="eastAsia" w:ascii="宋体" w:hAnsi="宋体"/>
              </w:rPr>
            </w:pPr>
            <w:r>
              <w:rPr>
                <w:rFonts w:hint="eastAsia" w:ascii="宋体" w:hAnsi="宋体"/>
              </w:rPr>
              <w:t>0.5mm</w:t>
            </w:r>
          </w:p>
        </w:tc>
        <w:tc>
          <w:tcPr>
            <w:tcW w:w="1101" w:type="dxa"/>
            <w:vAlign w:val="center"/>
          </w:tcPr>
          <w:p>
            <w:pPr>
              <w:spacing w:line="360" w:lineRule="auto"/>
              <w:jc w:val="center"/>
              <w:rPr>
                <w:rFonts w:ascii="宋体" w:hAnsi="宋体"/>
              </w:rPr>
            </w:pPr>
            <w:r>
              <w:rPr>
                <w:rFonts w:hint="eastAsia" w:ascii="宋体" w:hAnsi="宋体"/>
              </w:rPr>
              <w:t>0.5mm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0" w:hRule="atLeast"/>
        </w:trPr>
        <w:tc>
          <w:tcPr>
            <w:tcW w:w="1242" w:type="dxa"/>
            <w:vAlign w:val="center"/>
          </w:tcPr>
          <w:p>
            <w:pPr>
              <w:spacing w:line="360" w:lineRule="auto"/>
              <w:jc w:val="center"/>
              <w:rPr>
                <w:rFonts w:hint="eastAsia" w:ascii="宋体" w:hAnsi="宋体"/>
              </w:rPr>
            </w:pPr>
            <w:r>
              <w:rPr>
                <w:rFonts w:hint="eastAsia" w:ascii="宋体" w:hAnsi="宋体"/>
              </w:rPr>
              <w:t>4档</w:t>
            </w:r>
          </w:p>
        </w:tc>
        <w:tc>
          <w:tcPr>
            <w:tcW w:w="1701" w:type="dxa"/>
            <w:vAlign w:val="center"/>
          </w:tcPr>
          <w:p>
            <w:pPr>
              <w:spacing w:line="360" w:lineRule="auto"/>
              <w:jc w:val="center"/>
              <w:rPr>
                <w:rFonts w:hint="eastAsia" w:ascii="宋体" w:hAnsi="宋体"/>
              </w:rPr>
            </w:pPr>
            <w:r>
              <w:rPr>
                <w:rFonts w:hint="eastAsia" w:ascii="宋体" w:hAnsi="宋体"/>
              </w:rPr>
              <w:t>1.0mm</w:t>
            </w:r>
          </w:p>
        </w:tc>
        <w:tc>
          <w:tcPr>
            <w:tcW w:w="396" w:type="dxa"/>
            <w:vMerge w:val="continue"/>
            <w:tcBorders>
              <w:bottom w:val="nil"/>
            </w:tcBorders>
            <w:vAlign w:val="top"/>
          </w:tcPr>
          <w:p>
            <w:pPr>
              <w:spacing w:line="360" w:lineRule="auto"/>
              <w:jc w:val="center"/>
              <w:rPr>
                <w:rFonts w:hint="eastAsia" w:ascii="宋体" w:hAnsi="宋体"/>
              </w:rPr>
            </w:pPr>
          </w:p>
        </w:tc>
        <w:tc>
          <w:tcPr>
            <w:tcW w:w="468" w:type="dxa"/>
            <w:vMerge w:val="continue"/>
            <w:vAlign w:val="center"/>
          </w:tcPr>
          <w:p>
            <w:pPr>
              <w:spacing w:line="360" w:lineRule="auto"/>
              <w:jc w:val="center"/>
              <w:rPr>
                <w:rFonts w:hint="eastAsia" w:ascii="宋体" w:hAnsi="宋体"/>
              </w:rPr>
            </w:pPr>
          </w:p>
        </w:tc>
        <w:tc>
          <w:tcPr>
            <w:tcW w:w="800" w:type="dxa"/>
            <w:vAlign w:val="center"/>
          </w:tcPr>
          <w:p>
            <w:pPr>
              <w:spacing w:line="360" w:lineRule="auto"/>
              <w:jc w:val="center"/>
              <w:rPr>
                <w:rFonts w:hint="eastAsia" w:ascii="宋体" w:hAnsi="宋体"/>
              </w:rPr>
            </w:pPr>
            <w:r>
              <w:rPr>
                <w:rFonts w:hint="eastAsia" w:ascii="宋体" w:hAnsi="宋体"/>
              </w:rPr>
              <w:t>8档</w:t>
            </w:r>
          </w:p>
        </w:tc>
        <w:tc>
          <w:tcPr>
            <w:tcW w:w="440" w:type="dxa"/>
            <w:vMerge w:val="continue"/>
            <w:vAlign w:val="center"/>
          </w:tcPr>
          <w:p>
            <w:pPr>
              <w:spacing w:line="360" w:lineRule="auto"/>
              <w:jc w:val="center"/>
              <w:rPr>
                <w:rFonts w:hint="eastAsia" w:ascii="宋体" w:hAnsi="宋体"/>
              </w:rPr>
            </w:pPr>
          </w:p>
        </w:tc>
        <w:tc>
          <w:tcPr>
            <w:tcW w:w="731" w:type="dxa"/>
            <w:vAlign w:val="center"/>
          </w:tcPr>
          <w:p>
            <w:pPr>
              <w:spacing w:line="360" w:lineRule="auto"/>
              <w:jc w:val="center"/>
              <w:rPr>
                <w:rFonts w:hint="eastAsia" w:ascii="宋体" w:hAnsi="宋体"/>
              </w:rPr>
            </w:pPr>
            <w:r>
              <w:rPr>
                <w:rFonts w:hint="eastAsia" w:ascii="宋体" w:hAnsi="宋体"/>
              </w:rPr>
              <w:t>5档</w:t>
            </w:r>
          </w:p>
        </w:tc>
        <w:tc>
          <w:tcPr>
            <w:tcW w:w="842" w:type="dxa"/>
            <w:vAlign w:val="center"/>
          </w:tcPr>
          <w:p>
            <w:pPr>
              <w:spacing w:line="360" w:lineRule="auto"/>
              <w:jc w:val="center"/>
              <w:rPr>
                <w:rFonts w:hint="eastAsia" w:ascii="宋体" w:hAnsi="宋体"/>
              </w:rPr>
            </w:pPr>
            <w:r>
              <w:rPr>
                <w:rFonts w:hint="eastAsia" w:ascii="宋体" w:hAnsi="宋体"/>
              </w:rPr>
              <w:t>1.0mm</w:t>
            </w:r>
          </w:p>
        </w:tc>
        <w:tc>
          <w:tcPr>
            <w:tcW w:w="1101" w:type="dxa"/>
            <w:vAlign w:val="center"/>
          </w:tcPr>
          <w:p>
            <w:pPr>
              <w:spacing w:line="360" w:lineRule="auto"/>
              <w:jc w:val="center"/>
              <w:rPr>
                <w:rFonts w:ascii="宋体" w:hAnsi="宋体"/>
              </w:rPr>
            </w:pPr>
            <w:r>
              <w:rPr>
                <w:rFonts w:hint="eastAsia" w:ascii="宋体" w:hAnsi="宋体"/>
              </w:rPr>
              <w:t>0.5mm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5" w:hRule="atLeast"/>
        </w:trPr>
        <w:tc>
          <w:tcPr>
            <w:tcW w:w="1242" w:type="dxa"/>
            <w:vAlign w:val="center"/>
          </w:tcPr>
          <w:p>
            <w:pPr>
              <w:spacing w:line="360" w:lineRule="auto"/>
              <w:jc w:val="center"/>
              <w:rPr>
                <w:rFonts w:hint="eastAsia" w:ascii="宋体" w:hAnsi="宋体"/>
              </w:rPr>
            </w:pPr>
            <w:r>
              <w:rPr>
                <w:rFonts w:hint="eastAsia" w:ascii="宋体" w:hAnsi="宋体"/>
              </w:rPr>
              <w:t>3档</w:t>
            </w:r>
          </w:p>
        </w:tc>
        <w:tc>
          <w:tcPr>
            <w:tcW w:w="1701" w:type="dxa"/>
            <w:vAlign w:val="center"/>
          </w:tcPr>
          <w:p>
            <w:pPr>
              <w:spacing w:line="360" w:lineRule="auto"/>
              <w:jc w:val="center"/>
              <w:rPr>
                <w:rFonts w:hint="eastAsia" w:ascii="宋体" w:hAnsi="宋体"/>
              </w:rPr>
            </w:pPr>
            <w:r>
              <w:rPr>
                <w:rFonts w:hint="eastAsia" w:ascii="宋体" w:hAnsi="宋体"/>
              </w:rPr>
              <w:t>1.5mm</w:t>
            </w:r>
          </w:p>
        </w:tc>
        <w:tc>
          <w:tcPr>
            <w:tcW w:w="396" w:type="dxa"/>
            <w:vMerge w:val="continue"/>
            <w:tcBorders>
              <w:bottom w:val="nil"/>
            </w:tcBorders>
            <w:vAlign w:val="top"/>
          </w:tcPr>
          <w:p>
            <w:pPr>
              <w:spacing w:line="360" w:lineRule="auto"/>
              <w:jc w:val="center"/>
              <w:rPr>
                <w:rFonts w:hint="eastAsia" w:ascii="宋体" w:hAnsi="宋体"/>
              </w:rPr>
            </w:pPr>
          </w:p>
        </w:tc>
        <w:tc>
          <w:tcPr>
            <w:tcW w:w="468" w:type="dxa"/>
            <w:vMerge w:val="continue"/>
            <w:vAlign w:val="center"/>
          </w:tcPr>
          <w:p>
            <w:pPr>
              <w:spacing w:line="360" w:lineRule="auto"/>
              <w:jc w:val="center"/>
              <w:rPr>
                <w:rFonts w:hint="eastAsia" w:ascii="宋体" w:hAnsi="宋体"/>
              </w:rPr>
            </w:pPr>
          </w:p>
        </w:tc>
        <w:tc>
          <w:tcPr>
            <w:tcW w:w="800" w:type="dxa"/>
            <w:vAlign w:val="center"/>
          </w:tcPr>
          <w:p>
            <w:pPr>
              <w:spacing w:line="360" w:lineRule="auto"/>
              <w:jc w:val="center"/>
              <w:rPr>
                <w:rFonts w:hint="eastAsia" w:ascii="宋体" w:hAnsi="宋体"/>
              </w:rPr>
            </w:pPr>
            <w:r>
              <w:rPr>
                <w:rFonts w:hint="eastAsia" w:ascii="宋体" w:hAnsi="宋体"/>
              </w:rPr>
              <w:t>7档</w:t>
            </w:r>
          </w:p>
        </w:tc>
        <w:tc>
          <w:tcPr>
            <w:tcW w:w="440" w:type="dxa"/>
            <w:vMerge w:val="continue"/>
            <w:vAlign w:val="center"/>
          </w:tcPr>
          <w:p>
            <w:pPr>
              <w:spacing w:line="360" w:lineRule="auto"/>
              <w:jc w:val="center"/>
              <w:rPr>
                <w:rFonts w:hint="eastAsia" w:ascii="宋体" w:hAnsi="宋体"/>
              </w:rPr>
            </w:pPr>
          </w:p>
        </w:tc>
        <w:tc>
          <w:tcPr>
            <w:tcW w:w="731" w:type="dxa"/>
            <w:vAlign w:val="center"/>
          </w:tcPr>
          <w:p>
            <w:pPr>
              <w:spacing w:line="360" w:lineRule="auto"/>
              <w:jc w:val="center"/>
              <w:rPr>
                <w:rFonts w:hint="eastAsia" w:ascii="宋体" w:hAnsi="宋体"/>
              </w:rPr>
            </w:pPr>
            <w:r>
              <w:rPr>
                <w:rFonts w:hint="eastAsia" w:ascii="宋体" w:hAnsi="宋体"/>
              </w:rPr>
              <w:t>4档</w:t>
            </w:r>
          </w:p>
        </w:tc>
        <w:tc>
          <w:tcPr>
            <w:tcW w:w="842" w:type="dxa"/>
            <w:vAlign w:val="center"/>
          </w:tcPr>
          <w:p>
            <w:pPr>
              <w:spacing w:line="360" w:lineRule="auto"/>
              <w:jc w:val="center"/>
              <w:rPr>
                <w:rFonts w:hint="eastAsia" w:ascii="宋体" w:hAnsi="宋体"/>
              </w:rPr>
            </w:pPr>
            <w:r>
              <w:rPr>
                <w:rFonts w:hint="eastAsia" w:ascii="宋体" w:hAnsi="宋体"/>
              </w:rPr>
              <w:t>1.0mm</w:t>
            </w:r>
          </w:p>
        </w:tc>
        <w:tc>
          <w:tcPr>
            <w:tcW w:w="1101" w:type="dxa"/>
            <w:vAlign w:val="center"/>
          </w:tcPr>
          <w:p>
            <w:pPr>
              <w:spacing w:line="360" w:lineRule="auto"/>
              <w:jc w:val="center"/>
              <w:rPr>
                <w:rFonts w:ascii="宋体" w:hAnsi="宋体"/>
              </w:rPr>
            </w:pPr>
            <w:r>
              <w:rPr>
                <w:rFonts w:hint="eastAsia" w:ascii="宋体" w:hAnsi="宋体"/>
              </w:rPr>
              <w:t>0.5mm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 w:hRule="atLeast"/>
        </w:trPr>
        <w:tc>
          <w:tcPr>
            <w:tcW w:w="1242" w:type="dxa"/>
            <w:vAlign w:val="center"/>
          </w:tcPr>
          <w:p>
            <w:pPr>
              <w:spacing w:line="360" w:lineRule="auto"/>
              <w:jc w:val="center"/>
              <w:rPr>
                <w:rFonts w:hint="eastAsia" w:ascii="宋体" w:hAnsi="宋体"/>
              </w:rPr>
            </w:pPr>
            <w:r>
              <w:rPr>
                <w:rFonts w:hint="eastAsia" w:ascii="宋体" w:hAnsi="宋体"/>
              </w:rPr>
              <w:t>2档</w:t>
            </w:r>
          </w:p>
        </w:tc>
        <w:tc>
          <w:tcPr>
            <w:tcW w:w="1701" w:type="dxa"/>
            <w:vAlign w:val="center"/>
          </w:tcPr>
          <w:p>
            <w:pPr>
              <w:spacing w:line="360" w:lineRule="auto"/>
              <w:jc w:val="center"/>
              <w:rPr>
                <w:rFonts w:hint="eastAsia" w:ascii="宋体" w:hAnsi="宋体"/>
              </w:rPr>
            </w:pPr>
            <w:r>
              <w:rPr>
                <w:rFonts w:hint="eastAsia" w:ascii="宋体" w:hAnsi="宋体"/>
              </w:rPr>
              <w:t>2.0mm</w:t>
            </w:r>
          </w:p>
        </w:tc>
        <w:tc>
          <w:tcPr>
            <w:tcW w:w="396" w:type="dxa"/>
            <w:vMerge w:val="continue"/>
            <w:tcBorders>
              <w:bottom w:val="nil"/>
            </w:tcBorders>
            <w:vAlign w:val="top"/>
          </w:tcPr>
          <w:p>
            <w:pPr>
              <w:spacing w:line="360" w:lineRule="auto"/>
              <w:jc w:val="center"/>
              <w:rPr>
                <w:rFonts w:hint="eastAsia" w:ascii="宋体" w:hAnsi="宋体"/>
              </w:rPr>
            </w:pPr>
          </w:p>
        </w:tc>
        <w:tc>
          <w:tcPr>
            <w:tcW w:w="468" w:type="dxa"/>
            <w:vMerge w:val="continue"/>
            <w:vAlign w:val="center"/>
          </w:tcPr>
          <w:p>
            <w:pPr>
              <w:spacing w:line="360" w:lineRule="auto"/>
              <w:jc w:val="center"/>
              <w:rPr>
                <w:rFonts w:hint="eastAsia" w:ascii="宋体" w:hAnsi="宋体"/>
              </w:rPr>
            </w:pPr>
          </w:p>
        </w:tc>
        <w:tc>
          <w:tcPr>
            <w:tcW w:w="800" w:type="dxa"/>
            <w:vAlign w:val="center"/>
          </w:tcPr>
          <w:p>
            <w:pPr>
              <w:spacing w:line="360" w:lineRule="auto"/>
              <w:jc w:val="center"/>
              <w:rPr>
                <w:rFonts w:hint="eastAsia" w:ascii="宋体" w:hAnsi="宋体"/>
              </w:rPr>
            </w:pPr>
            <w:r>
              <w:rPr>
                <w:rFonts w:hint="eastAsia" w:ascii="宋体" w:hAnsi="宋体"/>
              </w:rPr>
              <w:t>6档</w:t>
            </w:r>
          </w:p>
        </w:tc>
        <w:tc>
          <w:tcPr>
            <w:tcW w:w="440" w:type="dxa"/>
            <w:vMerge w:val="continue"/>
            <w:vAlign w:val="center"/>
          </w:tcPr>
          <w:p>
            <w:pPr>
              <w:spacing w:line="360" w:lineRule="auto"/>
              <w:jc w:val="center"/>
              <w:rPr>
                <w:rFonts w:hint="eastAsia" w:ascii="宋体" w:hAnsi="宋体"/>
              </w:rPr>
            </w:pPr>
          </w:p>
        </w:tc>
        <w:tc>
          <w:tcPr>
            <w:tcW w:w="731" w:type="dxa"/>
            <w:vAlign w:val="center"/>
          </w:tcPr>
          <w:p>
            <w:pPr>
              <w:spacing w:line="360" w:lineRule="auto"/>
              <w:jc w:val="center"/>
              <w:rPr>
                <w:rFonts w:hint="eastAsia" w:ascii="宋体" w:hAnsi="宋体"/>
              </w:rPr>
            </w:pPr>
            <w:r>
              <w:rPr>
                <w:rFonts w:hint="eastAsia" w:ascii="宋体" w:hAnsi="宋体"/>
              </w:rPr>
              <w:t>3档</w:t>
            </w:r>
          </w:p>
        </w:tc>
        <w:tc>
          <w:tcPr>
            <w:tcW w:w="842" w:type="dxa"/>
            <w:vAlign w:val="center"/>
          </w:tcPr>
          <w:p>
            <w:pPr>
              <w:spacing w:line="360" w:lineRule="auto"/>
              <w:jc w:val="center"/>
              <w:rPr>
                <w:rFonts w:hint="eastAsia" w:ascii="宋体" w:hAnsi="宋体"/>
              </w:rPr>
            </w:pPr>
            <w:r>
              <w:rPr>
                <w:rFonts w:hint="eastAsia" w:ascii="宋体" w:hAnsi="宋体"/>
              </w:rPr>
              <w:t>1.0mm</w:t>
            </w:r>
          </w:p>
        </w:tc>
        <w:tc>
          <w:tcPr>
            <w:tcW w:w="1101" w:type="dxa"/>
            <w:vAlign w:val="center"/>
          </w:tcPr>
          <w:p>
            <w:pPr>
              <w:spacing w:line="360" w:lineRule="auto"/>
              <w:jc w:val="center"/>
              <w:rPr>
                <w:rFonts w:ascii="宋体" w:hAnsi="宋体"/>
              </w:rPr>
            </w:pPr>
            <w:r>
              <w:rPr>
                <w:rFonts w:hint="eastAsia" w:ascii="宋体" w:hAnsi="宋体"/>
              </w:rPr>
              <w:t>0.5mm</w:t>
            </w:r>
          </w:p>
        </w:tc>
      </w:tr>
    </w:tbl>
    <w:p>
      <w:pPr>
        <w:tabs>
          <w:tab w:val="left" w:pos="6300"/>
        </w:tabs>
        <w:snapToGrid w:val="0"/>
        <w:spacing w:line="480" w:lineRule="auto"/>
        <w:jc w:val="left"/>
        <w:outlineLvl w:val="0"/>
        <w:rPr>
          <w:rFonts w:hint="eastAsia" w:ascii="宋体" w:hAnsi="宋体"/>
        </w:rPr>
      </w:pPr>
      <w:r>
        <w:rPr>
          <w:rFonts w:hint="eastAsia" w:ascii="宋体" w:hAnsi="宋体"/>
          <w:b w:val="0"/>
          <w:bCs/>
        </w:rPr>
        <w:t>七、刀头性能</w:t>
      </w:r>
      <w:r>
        <w:rPr>
          <w:rFonts w:hint="eastAsia" w:ascii="宋体" w:hAnsi="宋体"/>
        </w:rPr>
        <w:tab/>
      </w:r>
    </w:p>
    <w:p>
      <w:pPr>
        <w:tabs>
          <w:tab w:val="left" w:pos="6300"/>
        </w:tabs>
        <w:snapToGrid w:val="0"/>
        <w:spacing w:line="480" w:lineRule="auto"/>
        <w:jc w:val="left"/>
        <w:outlineLvl w:val="0"/>
        <w:rPr>
          <w:rFonts w:hint="eastAsia" w:ascii="宋体" w:hAnsi="宋体"/>
        </w:rPr>
      </w:pPr>
      <w:r>
        <w:rPr>
          <w:rFonts w:hint="eastAsia" w:ascii="宋体" w:hAnsi="宋体"/>
        </w:rPr>
        <w:t>不粘连、无碳化、无烟雾、凝血和切割全时智能控制。</w:t>
      </w:r>
    </w:p>
    <w:p>
      <w:pPr>
        <w:tabs>
          <w:tab w:val="left" w:pos="6300"/>
        </w:tabs>
        <w:snapToGrid w:val="0"/>
        <w:spacing w:line="480" w:lineRule="auto"/>
        <w:jc w:val="left"/>
        <w:outlineLvl w:val="0"/>
        <w:rPr>
          <w:rFonts w:hint="eastAsia" w:ascii="宋体" w:hAnsi="宋体"/>
          <w:b/>
        </w:rPr>
      </w:pPr>
      <w:r>
        <w:rPr>
          <w:rFonts w:hint="eastAsia" w:ascii="宋体" w:hAnsi="宋体"/>
          <w:b/>
        </w:rPr>
        <w:t>★八、主机与刀头须同一个品牌。</w:t>
      </w:r>
    </w:p>
    <w:p>
      <w:pPr>
        <w:tabs>
          <w:tab w:val="left" w:pos="6300"/>
        </w:tabs>
        <w:snapToGrid w:val="0"/>
        <w:spacing w:line="480" w:lineRule="auto"/>
        <w:jc w:val="left"/>
        <w:outlineLvl w:val="0"/>
        <w:rPr>
          <w:rFonts w:hint="eastAsia" w:ascii="宋体" w:hAnsi="宋体" w:eastAsiaTheme="minorEastAsia"/>
          <w:b w:val="0"/>
          <w:bCs/>
          <w:lang w:val="en-US" w:eastAsia="zh-CN"/>
        </w:rPr>
      </w:pPr>
      <w:r>
        <w:rPr>
          <w:rFonts w:hint="eastAsia" w:ascii="宋体" w:hAnsi="宋体"/>
          <w:b w:val="0"/>
          <w:bCs/>
        </w:rPr>
        <w:t>九、</w:t>
      </w:r>
      <w:r>
        <w:rPr>
          <w:rFonts w:hint="eastAsia" w:ascii="宋体" w:hAnsi="宋体"/>
          <w:b w:val="0"/>
          <w:bCs/>
          <w:lang w:val="en-US" w:eastAsia="zh-CN"/>
        </w:rPr>
        <w:t>配件</w:t>
      </w:r>
    </w:p>
    <w:tbl>
      <w:tblPr>
        <w:tblStyle w:val="6"/>
        <w:tblW w:w="89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3700"/>
        <w:gridCol w:w="3536"/>
        <w:gridCol w:w="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b/>
              </w:rPr>
            </w:pPr>
            <w:r>
              <w:rPr>
                <w:rFonts w:hint="eastAsia" w:ascii="宋体" w:hAnsi="宋体"/>
                <w:b/>
              </w:rPr>
              <w:t>序号</w:t>
            </w:r>
          </w:p>
        </w:tc>
        <w:tc>
          <w:tcPr>
            <w:tcW w:w="3700" w:type="dxa"/>
            <w:vAlign w:val="center"/>
          </w:tcPr>
          <w:p>
            <w:pPr>
              <w:tabs>
                <w:tab w:val="left" w:pos="0"/>
                <w:tab w:val="left" w:pos="210"/>
              </w:tabs>
              <w:spacing w:line="360" w:lineRule="auto"/>
              <w:jc w:val="center"/>
              <w:rPr>
                <w:rFonts w:hint="eastAsia" w:ascii="宋体" w:hAnsi="宋体"/>
                <w:b/>
              </w:rPr>
            </w:pPr>
            <w:r>
              <w:rPr>
                <w:rFonts w:hint="eastAsia" w:ascii="宋体" w:hAnsi="宋体"/>
                <w:b/>
              </w:rPr>
              <w:t>品名</w:t>
            </w:r>
          </w:p>
        </w:tc>
        <w:tc>
          <w:tcPr>
            <w:tcW w:w="3536" w:type="dxa"/>
            <w:vAlign w:val="center"/>
          </w:tcPr>
          <w:p>
            <w:pPr>
              <w:tabs>
                <w:tab w:val="left" w:pos="0"/>
                <w:tab w:val="left" w:pos="210"/>
              </w:tabs>
              <w:spacing w:line="360" w:lineRule="auto"/>
              <w:jc w:val="center"/>
              <w:rPr>
                <w:rFonts w:hint="eastAsia" w:ascii="宋体" w:hAnsi="宋体"/>
                <w:b/>
              </w:rPr>
            </w:pPr>
            <w:r>
              <w:rPr>
                <w:rFonts w:hint="eastAsia" w:ascii="宋体" w:hAnsi="宋体"/>
                <w:b/>
              </w:rPr>
              <w:t>规格尺寸</w:t>
            </w:r>
          </w:p>
        </w:tc>
        <w:tc>
          <w:tcPr>
            <w:tcW w:w="940" w:type="dxa"/>
            <w:vAlign w:val="center"/>
          </w:tcPr>
          <w:p>
            <w:pPr>
              <w:tabs>
                <w:tab w:val="left" w:pos="0"/>
                <w:tab w:val="left" w:pos="210"/>
              </w:tabs>
              <w:spacing w:line="360" w:lineRule="auto"/>
              <w:jc w:val="center"/>
              <w:rPr>
                <w:rFonts w:hint="eastAsia" w:ascii="宋体" w:hAnsi="宋体"/>
                <w:b/>
              </w:rPr>
            </w:pPr>
            <w:r>
              <w:rPr>
                <w:rFonts w:hint="eastAsia" w:ascii="宋体" w:hAnsi="宋体"/>
                <w:b/>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rPr>
            </w:pPr>
            <w:r>
              <w:rPr>
                <w:rFonts w:hint="eastAsia" w:ascii="宋体" w:hAnsi="宋体"/>
              </w:rPr>
              <w:t>2</w:t>
            </w:r>
          </w:p>
        </w:tc>
        <w:tc>
          <w:tcPr>
            <w:tcW w:w="3700" w:type="dxa"/>
            <w:vAlign w:val="center"/>
          </w:tcPr>
          <w:p>
            <w:pPr>
              <w:widowControl/>
              <w:jc w:val="center"/>
              <w:textAlignment w:val="center"/>
              <w:rPr>
                <w:rFonts w:hint="eastAsia" w:ascii="宋体" w:hAnsi="宋体"/>
              </w:rPr>
            </w:pPr>
            <w:r>
              <w:rPr>
                <w:rFonts w:hint="eastAsia" w:ascii="宋体" w:hAnsi="宋体"/>
                <w:color w:val="000000"/>
                <w:kern w:val="0"/>
              </w:rPr>
              <w:t>支气管电凝刀头</w:t>
            </w:r>
          </w:p>
        </w:tc>
        <w:tc>
          <w:tcPr>
            <w:tcW w:w="3536" w:type="dxa"/>
            <w:vAlign w:val="center"/>
          </w:tcPr>
          <w:p>
            <w:pPr>
              <w:widowControl/>
              <w:jc w:val="center"/>
              <w:textAlignment w:val="center"/>
              <w:rPr>
                <w:rFonts w:hint="eastAsia" w:ascii="宋体" w:hAnsi="宋体"/>
              </w:rPr>
            </w:pPr>
            <w:r>
              <w:rPr>
                <w:rFonts w:hint="eastAsia" w:ascii="宋体" w:hAnsi="宋体"/>
                <w:color w:val="000000"/>
                <w:kern w:val="0"/>
              </w:rPr>
              <w:t>直径1.8mm    长度1200mm</w:t>
            </w:r>
          </w:p>
        </w:tc>
        <w:tc>
          <w:tcPr>
            <w:tcW w:w="940" w:type="dxa"/>
            <w:vAlign w:val="center"/>
          </w:tcPr>
          <w:p>
            <w:pPr>
              <w:tabs>
                <w:tab w:val="left" w:pos="0"/>
                <w:tab w:val="left" w:pos="210"/>
              </w:tabs>
              <w:spacing w:line="360" w:lineRule="auto"/>
              <w:jc w:val="center"/>
              <w:rPr>
                <w:rFonts w:hint="eastAsia" w:ascii="宋体" w:hAnsi="宋体"/>
              </w:rPr>
            </w:pPr>
            <w:r>
              <w:rPr>
                <w:rFonts w:hint="eastAsia" w:ascii="宋体" w:hAnsi="宋体"/>
              </w:rPr>
              <w:t>1把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rPr>
            </w:pPr>
            <w:r>
              <w:rPr>
                <w:rFonts w:hint="eastAsia" w:ascii="宋体" w:hAnsi="宋体"/>
              </w:rPr>
              <w:t>3</w:t>
            </w:r>
          </w:p>
        </w:tc>
        <w:tc>
          <w:tcPr>
            <w:tcW w:w="3700" w:type="dxa"/>
            <w:vAlign w:val="center"/>
          </w:tcPr>
          <w:p>
            <w:pPr>
              <w:widowControl/>
              <w:jc w:val="center"/>
              <w:textAlignment w:val="center"/>
              <w:rPr>
                <w:rFonts w:hint="eastAsia" w:ascii="宋体" w:hAnsi="宋体"/>
              </w:rPr>
            </w:pPr>
            <w:r>
              <w:rPr>
                <w:rFonts w:hint="eastAsia" w:ascii="宋体" w:hAnsi="宋体"/>
                <w:color w:val="000000"/>
                <w:kern w:val="0"/>
              </w:rPr>
              <w:t>支气管钳夹止血刀头</w:t>
            </w:r>
          </w:p>
        </w:tc>
        <w:tc>
          <w:tcPr>
            <w:tcW w:w="3536" w:type="dxa"/>
            <w:vAlign w:val="center"/>
          </w:tcPr>
          <w:p>
            <w:pPr>
              <w:widowControl/>
              <w:jc w:val="center"/>
              <w:textAlignment w:val="center"/>
              <w:rPr>
                <w:rFonts w:hint="eastAsia" w:ascii="宋体" w:hAnsi="宋体"/>
              </w:rPr>
            </w:pPr>
            <w:r>
              <w:rPr>
                <w:rFonts w:hint="eastAsia" w:ascii="宋体" w:hAnsi="宋体"/>
                <w:color w:val="000000"/>
                <w:kern w:val="0"/>
              </w:rPr>
              <w:t>直径1.8mm    长度1200mm</w:t>
            </w:r>
          </w:p>
        </w:tc>
        <w:tc>
          <w:tcPr>
            <w:tcW w:w="940" w:type="dxa"/>
            <w:vAlign w:val="center"/>
          </w:tcPr>
          <w:p>
            <w:pPr>
              <w:tabs>
                <w:tab w:val="left" w:pos="0"/>
                <w:tab w:val="left" w:pos="210"/>
              </w:tabs>
              <w:spacing w:line="360" w:lineRule="auto"/>
              <w:jc w:val="center"/>
              <w:rPr>
                <w:rFonts w:hint="eastAsia" w:ascii="宋体" w:hAnsi="宋体"/>
              </w:rPr>
            </w:pPr>
            <w:r>
              <w:rPr>
                <w:rFonts w:hint="eastAsia" w:ascii="宋体" w:hAnsi="宋体"/>
              </w:rPr>
              <w:t>1把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rPr>
            </w:pPr>
            <w:r>
              <w:rPr>
                <w:rFonts w:hint="eastAsia" w:ascii="宋体" w:hAnsi="宋体"/>
              </w:rPr>
              <w:t>4</w:t>
            </w:r>
          </w:p>
        </w:tc>
        <w:tc>
          <w:tcPr>
            <w:tcW w:w="3700" w:type="dxa"/>
            <w:vAlign w:val="center"/>
          </w:tcPr>
          <w:p>
            <w:pPr>
              <w:widowControl/>
              <w:jc w:val="center"/>
              <w:textAlignment w:val="center"/>
              <w:rPr>
                <w:rFonts w:hint="eastAsia" w:ascii="宋体" w:hAnsi="宋体"/>
              </w:rPr>
            </w:pPr>
            <w:r>
              <w:rPr>
                <w:rFonts w:hint="eastAsia" w:ascii="宋体" w:hAnsi="宋体"/>
                <w:color w:val="000000"/>
                <w:kern w:val="0"/>
              </w:rPr>
              <w:t>支气管切割刀头</w:t>
            </w:r>
          </w:p>
        </w:tc>
        <w:tc>
          <w:tcPr>
            <w:tcW w:w="3536" w:type="dxa"/>
            <w:vAlign w:val="center"/>
          </w:tcPr>
          <w:p>
            <w:pPr>
              <w:widowControl/>
              <w:jc w:val="center"/>
              <w:textAlignment w:val="center"/>
              <w:rPr>
                <w:rFonts w:hint="eastAsia" w:ascii="宋体" w:hAnsi="宋体"/>
              </w:rPr>
            </w:pPr>
            <w:r>
              <w:rPr>
                <w:rFonts w:hint="eastAsia" w:ascii="宋体" w:hAnsi="宋体"/>
                <w:color w:val="000000"/>
                <w:kern w:val="0"/>
              </w:rPr>
              <w:t>直径1.8mm    长度1200mm</w:t>
            </w:r>
          </w:p>
        </w:tc>
        <w:tc>
          <w:tcPr>
            <w:tcW w:w="940" w:type="dxa"/>
            <w:vAlign w:val="center"/>
          </w:tcPr>
          <w:p>
            <w:pPr>
              <w:tabs>
                <w:tab w:val="left" w:pos="0"/>
                <w:tab w:val="left" w:pos="210"/>
              </w:tabs>
              <w:spacing w:line="360" w:lineRule="auto"/>
              <w:jc w:val="center"/>
              <w:rPr>
                <w:rFonts w:hint="eastAsia" w:ascii="宋体" w:hAnsi="宋体"/>
              </w:rPr>
            </w:pPr>
            <w:r>
              <w:rPr>
                <w:rFonts w:hint="eastAsia" w:ascii="宋体" w:hAnsi="宋体"/>
              </w:rPr>
              <w:t>1根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rPr>
            </w:pPr>
            <w:r>
              <w:rPr>
                <w:rFonts w:hint="eastAsia" w:ascii="宋体" w:hAnsi="宋体"/>
              </w:rPr>
              <w:t>5</w:t>
            </w:r>
          </w:p>
        </w:tc>
        <w:tc>
          <w:tcPr>
            <w:tcW w:w="3700" w:type="dxa"/>
            <w:vAlign w:val="center"/>
          </w:tcPr>
          <w:p>
            <w:pPr>
              <w:widowControl/>
              <w:jc w:val="center"/>
              <w:textAlignment w:val="center"/>
              <w:rPr>
                <w:rFonts w:hint="eastAsia" w:ascii="宋体" w:hAnsi="宋体"/>
              </w:rPr>
            </w:pPr>
            <w:r>
              <w:rPr>
                <w:rFonts w:hint="eastAsia" w:ascii="宋体" w:hAnsi="宋体"/>
                <w:color w:val="000000"/>
                <w:kern w:val="0"/>
              </w:rPr>
              <w:t>双极输出连线</w:t>
            </w:r>
          </w:p>
        </w:tc>
        <w:tc>
          <w:tcPr>
            <w:tcW w:w="3536" w:type="dxa"/>
            <w:vAlign w:val="center"/>
          </w:tcPr>
          <w:p>
            <w:pPr>
              <w:widowControl/>
              <w:jc w:val="center"/>
              <w:textAlignment w:val="center"/>
              <w:rPr>
                <w:rFonts w:hint="eastAsia" w:ascii="宋体" w:hAnsi="宋体"/>
              </w:rPr>
            </w:pPr>
            <w:r>
              <w:rPr>
                <w:rFonts w:hint="eastAsia" w:ascii="宋体" w:hAnsi="宋体"/>
                <w:color w:val="000000"/>
                <w:kern w:val="0"/>
              </w:rPr>
              <w:t>带中性板夹子</w:t>
            </w:r>
          </w:p>
        </w:tc>
        <w:tc>
          <w:tcPr>
            <w:tcW w:w="940" w:type="dxa"/>
            <w:vAlign w:val="center"/>
          </w:tcPr>
          <w:p>
            <w:pPr>
              <w:tabs>
                <w:tab w:val="left" w:pos="0"/>
                <w:tab w:val="left" w:pos="210"/>
              </w:tabs>
              <w:spacing w:line="360" w:lineRule="auto"/>
              <w:jc w:val="center"/>
              <w:rPr>
                <w:rFonts w:hint="eastAsia" w:ascii="宋体" w:hAnsi="宋体"/>
              </w:rPr>
            </w:pPr>
            <w:r>
              <w:rPr>
                <w:rFonts w:hint="eastAsia" w:ascii="宋体" w:hAnsi="宋体"/>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rPr>
            </w:pPr>
            <w:r>
              <w:rPr>
                <w:rFonts w:hint="eastAsia" w:ascii="宋体" w:hAnsi="宋体"/>
              </w:rPr>
              <w:t>6</w:t>
            </w:r>
          </w:p>
        </w:tc>
        <w:tc>
          <w:tcPr>
            <w:tcW w:w="3700" w:type="dxa"/>
            <w:vAlign w:val="center"/>
          </w:tcPr>
          <w:p>
            <w:pPr>
              <w:widowControl/>
              <w:jc w:val="center"/>
              <w:textAlignment w:val="center"/>
              <w:rPr>
                <w:rFonts w:hint="eastAsia" w:ascii="宋体" w:hAnsi="宋体"/>
              </w:rPr>
            </w:pPr>
            <w:r>
              <w:rPr>
                <w:rFonts w:hint="eastAsia" w:ascii="宋体" w:hAnsi="宋体"/>
                <w:color w:val="000000"/>
                <w:kern w:val="0"/>
              </w:rPr>
              <w:t>一次性中性板</w:t>
            </w:r>
          </w:p>
        </w:tc>
        <w:tc>
          <w:tcPr>
            <w:tcW w:w="3536" w:type="dxa"/>
            <w:vAlign w:val="center"/>
          </w:tcPr>
          <w:p>
            <w:pPr>
              <w:widowControl/>
              <w:jc w:val="center"/>
              <w:textAlignment w:val="center"/>
              <w:rPr>
                <w:rFonts w:hint="eastAsia" w:ascii="宋体" w:hAnsi="宋体"/>
              </w:rPr>
            </w:pPr>
            <w:r>
              <w:rPr>
                <w:rFonts w:ascii="宋体" w:hAnsi="宋体"/>
                <w:color w:val="000000"/>
                <w:kern w:val="0"/>
              </w:rPr>
              <w:t>NP1</w:t>
            </w:r>
            <w:r>
              <w:rPr>
                <w:rFonts w:hint="eastAsia" w:ascii="宋体" w:hAnsi="宋体"/>
                <w:color w:val="000000"/>
                <w:kern w:val="0"/>
              </w:rPr>
              <w:t xml:space="preserve">型 </w:t>
            </w:r>
            <w:r>
              <w:rPr>
                <w:rFonts w:ascii="宋体" w:hAnsi="宋体"/>
                <w:color w:val="000000"/>
                <w:kern w:val="0"/>
              </w:rPr>
              <w:t>5</w:t>
            </w:r>
            <w:r>
              <w:rPr>
                <w:rFonts w:hint="eastAsia" w:ascii="宋体" w:hAnsi="宋体"/>
                <w:color w:val="000000"/>
                <w:kern w:val="0"/>
              </w:rPr>
              <w:t>片</w:t>
            </w:r>
            <w:r>
              <w:rPr>
                <w:rFonts w:ascii="宋体" w:hAnsi="宋体"/>
                <w:color w:val="000000"/>
                <w:kern w:val="0"/>
              </w:rPr>
              <w:t>/</w:t>
            </w:r>
            <w:r>
              <w:rPr>
                <w:rFonts w:hint="eastAsia" w:ascii="宋体" w:hAnsi="宋体"/>
                <w:color w:val="000000"/>
                <w:kern w:val="0"/>
              </w:rPr>
              <w:t>包</w:t>
            </w:r>
          </w:p>
        </w:tc>
        <w:tc>
          <w:tcPr>
            <w:tcW w:w="940" w:type="dxa"/>
            <w:vAlign w:val="center"/>
          </w:tcPr>
          <w:p>
            <w:pPr>
              <w:tabs>
                <w:tab w:val="left" w:pos="0"/>
                <w:tab w:val="left" w:pos="210"/>
              </w:tabs>
              <w:spacing w:line="360" w:lineRule="auto"/>
              <w:jc w:val="center"/>
              <w:rPr>
                <w:rFonts w:hint="eastAsia" w:ascii="宋体" w:hAnsi="宋体"/>
              </w:rPr>
            </w:pPr>
            <w:r>
              <w:rPr>
                <w:rFonts w:hint="eastAsia" w:ascii="宋体" w:hAnsi="宋体"/>
              </w:rPr>
              <w:t>1包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trPr>
        <w:tc>
          <w:tcPr>
            <w:tcW w:w="810" w:type="dxa"/>
            <w:vAlign w:val="center"/>
          </w:tcPr>
          <w:p>
            <w:pPr>
              <w:tabs>
                <w:tab w:val="left" w:pos="0"/>
                <w:tab w:val="left" w:pos="210"/>
              </w:tabs>
              <w:spacing w:line="360" w:lineRule="auto"/>
              <w:jc w:val="center"/>
              <w:rPr>
                <w:rFonts w:hint="eastAsia" w:ascii="宋体" w:hAnsi="宋体"/>
              </w:rPr>
            </w:pPr>
            <w:r>
              <w:rPr>
                <w:rFonts w:hint="eastAsia" w:ascii="宋体" w:hAnsi="宋体"/>
              </w:rPr>
              <w:t>7</w:t>
            </w:r>
          </w:p>
        </w:tc>
        <w:tc>
          <w:tcPr>
            <w:tcW w:w="3700" w:type="dxa"/>
            <w:vAlign w:val="center"/>
          </w:tcPr>
          <w:p>
            <w:pPr>
              <w:widowControl/>
              <w:jc w:val="center"/>
              <w:textAlignment w:val="center"/>
              <w:rPr>
                <w:rFonts w:hint="eastAsia" w:ascii="宋体" w:hAnsi="宋体"/>
              </w:rPr>
            </w:pPr>
            <w:r>
              <w:rPr>
                <w:rFonts w:hint="eastAsia" w:ascii="宋体" w:hAnsi="宋体"/>
                <w:color w:val="000000"/>
                <w:kern w:val="0"/>
              </w:rPr>
              <w:t>双功能脚踏控制板</w:t>
            </w:r>
          </w:p>
        </w:tc>
        <w:tc>
          <w:tcPr>
            <w:tcW w:w="3536" w:type="dxa"/>
            <w:vAlign w:val="center"/>
          </w:tcPr>
          <w:p>
            <w:pPr>
              <w:widowControl/>
              <w:jc w:val="center"/>
              <w:textAlignment w:val="center"/>
              <w:rPr>
                <w:rFonts w:hint="eastAsia" w:ascii="宋体" w:hAnsi="宋体"/>
              </w:rPr>
            </w:pPr>
            <w:r>
              <w:rPr>
                <w:rFonts w:hint="eastAsia" w:ascii="宋体" w:hAnsi="宋体"/>
                <w:color w:val="000000"/>
                <w:kern w:val="0"/>
              </w:rPr>
              <w:t>防水 IP×8级</w:t>
            </w:r>
          </w:p>
        </w:tc>
        <w:tc>
          <w:tcPr>
            <w:tcW w:w="940" w:type="dxa"/>
            <w:vAlign w:val="center"/>
          </w:tcPr>
          <w:p>
            <w:pPr>
              <w:tabs>
                <w:tab w:val="left" w:pos="0"/>
                <w:tab w:val="left" w:pos="210"/>
              </w:tabs>
              <w:spacing w:line="360" w:lineRule="auto"/>
              <w:jc w:val="center"/>
              <w:rPr>
                <w:rFonts w:hint="eastAsia" w:ascii="宋体" w:hAnsi="宋体"/>
              </w:rPr>
            </w:pPr>
            <w:r>
              <w:rPr>
                <w:rFonts w:hint="eastAsia" w:ascii="宋体" w:hAnsi="宋体"/>
              </w:rPr>
              <w:t>1只</w:t>
            </w:r>
          </w:p>
        </w:tc>
      </w:tr>
    </w:tbl>
    <w:p>
      <w:pPr>
        <w:autoSpaceDN w:val="0"/>
        <w:spacing w:line="480" w:lineRule="auto"/>
        <w:rPr>
          <w:rFonts w:hint="eastAsia" w:ascii="宋体" w:hAnsi="宋体"/>
          <w:b w:val="0"/>
          <w:bCs/>
        </w:rPr>
      </w:pPr>
      <w:r>
        <w:rPr>
          <w:rFonts w:hint="eastAsia" w:ascii="宋体" w:hAnsi="宋体"/>
          <w:b w:val="0"/>
          <w:bCs/>
        </w:rPr>
        <w:t>十、售后服务：主机保修一年，终身维修。</w:t>
      </w:r>
    </w:p>
    <w:p>
      <w:pPr>
        <w:spacing w:line="480" w:lineRule="auto"/>
        <w:rPr>
          <w:rFonts w:hint="eastAsia" w:ascii="宋体" w:hAnsi="宋体"/>
          <w:b w:val="0"/>
          <w:bCs/>
        </w:rPr>
      </w:pPr>
      <w:r>
        <w:rPr>
          <w:rFonts w:hint="eastAsia" w:ascii="宋体" w:hAnsi="宋体"/>
          <w:b w:val="0"/>
          <w:bCs/>
        </w:rPr>
        <w:t>十一、电源参数：220V/50H</w:t>
      </w:r>
      <w:r>
        <w:rPr>
          <w:rFonts w:hint="eastAsia" w:ascii="宋体" w:hAnsi="宋体"/>
          <w:b w:val="0"/>
          <w:bCs/>
          <w:vertAlign w:val="subscript"/>
        </w:rPr>
        <w:t>Z</w:t>
      </w:r>
      <w:r>
        <w:rPr>
          <w:rFonts w:hint="eastAsia" w:ascii="宋体" w:hAnsi="宋体"/>
          <w:b w:val="0"/>
          <w:bCs/>
        </w:rPr>
        <w:t>.</w:t>
      </w:r>
    </w:p>
    <w:tbl>
      <w:tblPr>
        <w:tblStyle w:val="6"/>
        <w:tblpPr w:leftFromText="180" w:rightFromText="180" w:vertAnchor="text" w:horzAnchor="page" w:tblpX="1909" w:tblpY="758"/>
        <w:tblOverlap w:val="never"/>
        <w:tblW w:w="8880" w:type="dxa"/>
        <w:tblInd w:w="0" w:type="dxa"/>
        <w:shd w:val="clear" w:color="auto" w:fill="auto"/>
        <w:tblLayout w:type="fixed"/>
        <w:tblCellMar>
          <w:top w:w="0" w:type="dxa"/>
          <w:left w:w="0" w:type="dxa"/>
          <w:bottom w:w="0" w:type="dxa"/>
          <w:right w:w="0" w:type="dxa"/>
        </w:tblCellMar>
      </w:tblPr>
      <w:tblGrid>
        <w:gridCol w:w="2101"/>
        <w:gridCol w:w="2311"/>
        <w:gridCol w:w="1912"/>
        <w:gridCol w:w="1193"/>
        <w:gridCol w:w="1363"/>
      </w:tblGrid>
      <w:tr>
        <w:tblPrEx>
          <w:shd w:val="clear" w:color="auto" w:fill="auto"/>
          <w:tblLayout w:type="fixed"/>
          <w:tblCellMar>
            <w:top w:w="0" w:type="dxa"/>
            <w:left w:w="0" w:type="dxa"/>
            <w:bottom w:w="0" w:type="dxa"/>
            <w:right w:w="0" w:type="dxa"/>
          </w:tblCellMar>
        </w:tblPrEx>
        <w:trPr>
          <w:trHeight w:val="544" w:hRule="atLeast"/>
        </w:trPr>
        <w:tc>
          <w:tcPr>
            <w:tcW w:w="21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设备名称</w:t>
            </w:r>
          </w:p>
        </w:tc>
        <w:tc>
          <w:tcPr>
            <w:tcW w:w="231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规格型号</w:t>
            </w: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数量</w:t>
            </w:r>
          </w:p>
        </w:tc>
        <w:tc>
          <w:tcPr>
            <w:tcW w:w="119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合计</w:t>
            </w: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备注</w:t>
            </w:r>
          </w:p>
        </w:tc>
      </w:tr>
      <w:tr>
        <w:tblPrEx>
          <w:tblLayout w:type="fixed"/>
          <w:tblCellMar>
            <w:top w:w="0" w:type="dxa"/>
            <w:left w:w="0" w:type="dxa"/>
            <w:bottom w:w="0" w:type="dxa"/>
            <w:right w:w="0" w:type="dxa"/>
          </w:tblCellMar>
        </w:tblPrEx>
        <w:trPr>
          <w:trHeight w:val="544" w:hRule="atLeast"/>
        </w:trPr>
        <w:tc>
          <w:tcPr>
            <w:tcW w:w="210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移动式空气消毒机</w:t>
            </w:r>
          </w:p>
        </w:tc>
        <w:tc>
          <w:tcPr>
            <w:tcW w:w="231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KDSJ-Y1000</w:t>
            </w: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2</w:t>
            </w:r>
          </w:p>
        </w:tc>
        <w:tc>
          <w:tcPr>
            <w:tcW w:w="119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11</w:t>
            </w: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2</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ind w:right="504" w:rightChars="240"/>
              <w:jc w:val="center"/>
              <w:rPr>
                <w:rFonts w:hint="eastAsia" w:asciiTheme="minorEastAsia" w:hAnsiTheme="minorEastAsia" w:eastAsiaTheme="minorEastAsia" w:cstheme="minorEastAsia"/>
                <w:i w:val="0"/>
                <w:color w:val="000000"/>
                <w:sz w:val="24"/>
                <w:szCs w:val="24"/>
                <w:u w:val="none"/>
              </w:rPr>
            </w:pPr>
          </w:p>
        </w:tc>
      </w:tr>
      <w:tr>
        <w:tblPrEx>
          <w:shd w:val="clear" w:color="auto" w:fill="auto"/>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shd w:val="clear" w:color="auto" w:fill="auto"/>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2</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shd w:val="clear" w:color="auto" w:fill="auto"/>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shd w:val="clear" w:color="auto" w:fill="auto"/>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shd w:val="clear" w:color="auto" w:fill="auto"/>
          <w:tblLayout w:type="fixed"/>
          <w:tblCellMar>
            <w:top w:w="0" w:type="dxa"/>
            <w:left w:w="0" w:type="dxa"/>
            <w:bottom w:w="0" w:type="dxa"/>
            <w:right w:w="0" w:type="dxa"/>
          </w:tblCellMar>
        </w:tblPrEx>
        <w:trPr>
          <w:trHeight w:val="544" w:hRule="atLeast"/>
        </w:trPr>
        <w:tc>
          <w:tcPr>
            <w:tcW w:w="210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等离子壁挂式空气消毒机</w:t>
            </w:r>
          </w:p>
        </w:tc>
        <w:tc>
          <w:tcPr>
            <w:tcW w:w="231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KJF-B100</w:t>
            </w: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2</w:t>
            </w: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shd w:val="clear" w:color="auto" w:fill="auto"/>
          <w:tblLayout w:type="fixed"/>
          <w:tblCellMar>
            <w:top w:w="0" w:type="dxa"/>
            <w:left w:w="0" w:type="dxa"/>
            <w:bottom w:w="0" w:type="dxa"/>
            <w:right w:w="0" w:type="dxa"/>
          </w:tblCellMar>
        </w:tblPrEx>
        <w:trPr>
          <w:trHeight w:val="54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tblLayout w:type="fixed"/>
          <w:tblCellMar>
            <w:top w:w="0" w:type="dxa"/>
            <w:left w:w="0" w:type="dxa"/>
            <w:bottom w:w="0" w:type="dxa"/>
            <w:right w:w="0" w:type="dxa"/>
          </w:tblCellMar>
        </w:tblPrEx>
        <w:trPr>
          <w:trHeight w:val="544" w:hRule="atLeast"/>
        </w:trPr>
        <w:tc>
          <w:tcPr>
            <w:tcW w:w="210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吸顶式等离子空气消毒机</w:t>
            </w:r>
          </w:p>
        </w:tc>
        <w:tc>
          <w:tcPr>
            <w:tcW w:w="2311"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KJF-Q100</w:t>
            </w: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1</w:t>
            </w:r>
          </w:p>
        </w:tc>
        <w:tc>
          <w:tcPr>
            <w:tcW w:w="119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i w:val="0"/>
                <w:color w:val="000000"/>
                <w:sz w:val="24"/>
                <w:szCs w:val="24"/>
                <w:u w:val="none"/>
              </w:rPr>
            </w:pPr>
            <w:r>
              <w:rPr>
                <w:rFonts w:hint="eastAsia" w:asciiTheme="minorEastAsia" w:hAnsiTheme="minorEastAsia" w:eastAsiaTheme="minorEastAsia" w:cstheme="minorEastAsia"/>
                <w:i w:val="0"/>
                <w:color w:val="000000"/>
                <w:kern w:val="0"/>
                <w:sz w:val="24"/>
                <w:szCs w:val="24"/>
                <w:u w:val="none"/>
                <w:lang w:val="en-US" w:eastAsia="zh-CN" w:bidi="ar"/>
              </w:rPr>
              <w:t>2</w:t>
            </w: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Theme="minorEastAsia" w:hAnsiTheme="minorEastAsia" w:eastAsiaTheme="minorEastAsia" w:cstheme="minorEastAsia"/>
                <w:i w:val="0"/>
                <w:color w:val="000000"/>
                <w:sz w:val="24"/>
                <w:szCs w:val="24"/>
                <w:u w:val="none"/>
              </w:rPr>
            </w:pPr>
          </w:p>
        </w:tc>
      </w:tr>
      <w:tr>
        <w:tblPrEx>
          <w:tblLayout w:type="fixed"/>
          <w:tblCellMar>
            <w:top w:w="0" w:type="dxa"/>
            <w:left w:w="0" w:type="dxa"/>
            <w:bottom w:w="0" w:type="dxa"/>
            <w:right w:w="0" w:type="dxa"/>
          </w:tblCellMar>
        </w:tblPrEx>
        <w:trPr>
          <w:trHeight w:val="554" w:hRule="atLeast"/>
        </w:trPr>
        <w:tc>
          <w:tcPr>
            <w:tcW w:w="210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2311"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91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119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c>
          <w:tcPr>
            <w:tcW w:w="136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eastAsia" w:ascii="宋体" w:hAnsi="宋体" w:eastAsia="宋体" w:cs="宋体"/>
                <w:i w:val="0"/>
                <w:color w:val="000000"/>
                <w:sz w:val="24"/>
                <w:szCs w:val="24"/>
                <w:u w:val="none"/>
              </w:rPr>
            </w:pPr>
          </w:p>
        </w:tc>
      </w:tr>
    </w:tbl>
    <w:p>
      <w:pPr>
        <w:rPr>
          <w:rFonts w:hint="eastAsia" w:ascii="仿宋_GB2312" w:hAnsi="仿宋_GB2312" w:eastAsia="仿宋_GB2312" w:cs="仿宋_GB2312"/>
          <w:b/>
          <w:bCs/>
          <w:sz w:val="32"/>
          <w:szCs w:val="32"/>
          <w:vertAlign w:val="baseline"/>
          <w:lang w:eastAsia="zh-CN"/>
        </w:rPr>
      </w:pPr>
      <w:r>
        <w:rPr>
          <w:rFonts w:hint="eastAsia" w:ascii="仿宋_GB2312" w:hAnsi="仿宋_GB2312" w:eastAsia="仿宋_GB2312" w:cs="仿宋_GB2312"/>
          <w:b/>
          <w:bCs/>
          <w:color w:val="000000" w:themeColor="text1"/>
          <w:kern w:val="2"/>
          <w:sz w:val="32"/>
          <w:szCs w:val="32"/>
          <w:lang w:val="en-US" w:eastAsia="zh-CN" w:bidi="ar-SA"/>
          <w14:textFill>
            <w14:solidFill>
              <w14:schemeClr w14:val="tx1"/>
            </w14:solidFill>
          </w14:textFill>
        </w:rPr>
        <w:t>包四、</w:t>
      </w:r>
      <w:r>
        <w:rPr>
          <w:rFonts w:hint="eastAsia" w:ascii="仿宋_GB2312" w:hAnsi="仿宋_GB2312" w:eastAsia="仿宋_GB2312" w:cs="仿宋_GB2312"/>
          <w:b/>
          <w:bCs/>
          <w:sz w:val="32"/>
          <w:szCs w:val="32"/>
          <w:vertAlign w:val="baseline"/>
          <w:lang w:eastAsia="zh-CN"/>
        </w:rPr>
        <w:t>消毒机技术参数</w:t>
      </w:r>
    </w:p>
    <w:p>
      <w:pPr>
        <w:ind w:left="467" w:leftChars="-295" w:hanging="1086" w:hangingChars="388"/>
        <w:rPr>
          <w:rFonts w:hint="default" w:ascii="Times New Roman" w:hAnsi="Times New Roman" w:eastAsia="宋体" w:cs="Times New Roman"/>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Myriad Pro">
    <w:altName w:val="Arial"/>
    <w:panose1 w:val="00000000000000000000"/>
    <w:charset w:val="00"/>
    <w:family w:val="swiss"/>
    <w:pitch w:val="default"/>
    <w:sig w:usb0="00000000" w:usb1="00000000" w:usb2="00000000" w:usb3="00000000" w:csb0="0000009F"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A6637A"/>
    <w:multiLevelType w:val="multilevel"/>
    <w:tmpl w:val="1BA6637A"/>
    <w:lvl w:ilvl="0" w:tentative="0">
      <w:start w:val="1"/>
      <w:numFmt w:val="decimal"/>
      <w:lvlText w:val="%1)"/>
      <w:lvlJc w:val="left"/>
      <w:pPr>
        <w:tabs>
          <w:tab w:val="left" w:pos="360"/>
        </w:tabs>
        <w:ind w:left="360" w:hanging="360"/>
      </w:pPr>
      <w:rPr>
        <w:rFonts w:hint="default"/>
        <w:sz w:val="21"/>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B60A2A"/>
    <w:rsid w:val="07B60A2A"/>
    <w:rsid w:val="1A0356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bCs/>
      <w:kern w:val="44"/>
      <w:sz w:val="44"/>
      <w:szCs w:val="44"/>
    </w:rPr>
  </w:style>
  <w:style w:type="paragraph" w:styleId="3">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8">
    <w:name w:val="List Paragraph"/>
    <w:basedOn w:val="1"/>
    <w:qFormat/>
    <w:uiPriority w:val="34"/>
    <w:pPr>
      <w:ind w:firstLine="420" w:firstLineChars="200"/>
    </w:pPr>
  </w:style>
  <w:style w:type="paragraph" w:customStyle="1" w:styleId="9">
    <w:name w:val="Default"/>
    <w:qFormat/>
    <w:uiPriority w:val="0"/>
    <w:pPr>
      <w:widowControl w:val="0"/>
      <w:autoSpaceDE w:val="0"/>
      <w:autoSpaceDN w:val="0"/>
      <w:adjustRightInd w:val="0"/>
    </w:pPr>
    <w:rPr>
      <w:rFonts w:ascii="Myriad Pro" w:hAnsi="Myriad Pro" w:eastAsia="Myriad Pro" w:cs="Myriad Pro"/>
      <w:color w:val="000000"/>
      <w:sz w:val="24"/>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EEACA"/>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2019-07-02T00:11:00Z</dcterms:created>
  <dc:creator>Administrator</dc:creator>
  <cp:lastModifiedBy>圣予统祖AE</cp:lastModifiedBy>
  <dcterms:modified xsi:type="dcterms:W3CDTF">2019-07-02T08:06:07Z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